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3"/>
        <w:rPr>
          <w:b w:val="false"/>
        </w:rPr>
      </w:pPr>
      <w:r>
        <w:rPr/>
        <w:drawing>
          <wp:inline distT="0" distB="0" distL="0" distR="0">
            <wp:extent cx="876300" cy="10858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6" t="-320" r="-396" b="-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                            </w:t>
      </w:r>
    </w:p>
    <w:p>
      <w:pPr>
        <w:pStyle w:val="113"/>
        <w:rPr>
          <w:b w:val="false"/>
        </w:rPr>
      </w:pPr>
      <w:r>
        <w:rPr>
          <w:b w:val="false"/>
        </w:rPr>
      </w:r>
    </w:p>
    <w:p>
      <w:pPr>
        <w:pStyle w:val="113"/>
        <w:rPr>
          <w:lang w:eastAsia="ru-RU"/>
        </w:rPr>
      </w:pPr>
      <w:r>
        <w:rPr/>
        <w:t xml:space="preserve">КЕМЕРОВСКАЯ ОБЛАСТЬ-КУЗБАСС </w:t>
      </w:r>
    </w:p>
    <w:p>
      <w:pPr>
        <w:pStyle w:val="Heading5"/>
        <w:numPr>
          <w:ilvl w:val="4"/>
          <w:numId w:val="1"/>
        </w:numPr>
        <w:spacing w:before="0" w:after="0"/>
        <w:jc w:val="center"/>
        <w:rPr>
          <w:rFonts w:ascii="Times New Roman" w:hAnsi="Times New Roman" w:cs="Times New Roman"/>
          <w:i w:val="false"/>
          <w:i w:val="false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i w:val="false"/>
          <w:sz w:val="28"/>
          <w:szCs w:val="28"/>
          <w:lang w:val="ru-RU" w:eastAsia="ru-RU"/>
        </w:rPr>
        <w:t>ЧЕБУЛИНСКИЙ МУНИЦИПАЛЬНЫЙ  ОКРУГ</w:t>
      </w:r>
    </w:p>
    <w:p>
      <w:pPr>
        <w:pStyle w:val="Heading5"/>
        <w:numPr>
          <w:ilvl w:val="4"/>
          <w:numId w:val="1"/>
        </w:numPr>
        <w:spacing w:before="0" w:after="0"/>
        <w:jc w:val="center"/>
        <w:rPr>
          <w:rFonts w:ascii="Times New Roman" w:hAnsi="Times New Roman" w:cs="Times New Roman"/>
          <w:i w:val="false"/>
          <w:i w:val="false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i w:val="false"/>
          <w:sz w:val="28"/>
          <w:szCs w:val="28"/>
          <w:lang w:val="ru-RU" w:eastAsia="ru-RU"/>
        </w:rPr>
      </w:r>
    </w:p>
    <w:p>
      <w:pPr>
        <w:pStyle w:val="Heading5"/>
        <w:numPr>
          <w:ilvl w:val="4"/>
          <w:numId w:val="1"/>
        </w:numPr>
        <w:spacing w:before="0" w:after="0"/>
        <w:jc w:val="center"/>
        <w:rPr>
          <w:rFonts w:ascii="Times New Roman" w:hAnsi="Times New Roman" w:cs="Times New Roman"/>
          <w:i w:val="false"/>
          <w:i w:val="false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i w:val="false"/>
          <w:sz w:val="28"/>
          <w:szCs w:val="28"/>
          <w:lang w:val="ru-RU" w:eastAsia="ru-RU"/>
        </w:rPr>
        <w:t xml:space="preserve">АДМИНИСТРАЦИЯ ЧЕБУЛИНСКОГО      </w:t>
      </w:r>
    </w:p>
    <w:p>
      <w:pPr>
        <w:pStyle w:val="Heading5"/>
        <w:numPr>
          <w:ilvl w:val="4"/>
          <w:numId w:val="1"/>
        </w:numPr>
        <w:spacing w:before="0" w:after="0"/>
        <w:jc w:val="center"/>
        <w:rPr>
          <w:rFonts w:cs="Times New Roman"/>
          <w:spacing w:val="60"/>
          <w:sz w:val="32"/>
          <w:szCs w:val="32"/>
        </w:rPr>
      </w:pPr>
      <w:r>
        <w:rPr>
          <w:rFonts w:cs="Times New Roman" w:ascii="Times New Roman" w:hAnsi="Times New Roman"/>
          <w:i w:val="false"/>
          <w:sz w:val="28"/>
          <w:szCs w:val="28"/>
          <w:lang w:val="ru-RU" w:eastAsia="ru-RU"/>
        </w:rPr>
        <w:t>МУНИЦИПАЛЬНОГО ОКРУГА</w:t>
      </w:r>
    </w:p>
    <w:p>
      <w:pPr>
        <w:pStyle w:val="113"/>
        <w:rPr>
          <w:bCs/>
          <w:i/>
          <w:i/>
          <w:spacing w:val="60"/>
          <w:sz w:val="32"/>
          <w:szCs w:val="32"/>
        </w:rPr>
      </w:pPr>
      <w:r>
        <w:rPr>
          <w:bCs/>
          <w:i/>
          <w:spacing w:val="60"/>
          <w:sz w:val="32"/>
          <w:szCs w:val="32"/>
        </w:rPr>
      </w:r>
    </w:p>
    <w:p>
      <w:pPr>
        <w:pStyle w:val="113"/>
        <w:rPr>
          <w:rFonts w:eastAsia="Times New Roman"/>
          <w:b w:val="false"/>
        </w:rPr>
      </w:pPr>
      <w:r>
        <w:rPr>
          <w:bCs/>
          <w:spacing w:val="60"/>
          <w:sz w:val="32"/>
          <w:szCs w:val="32"/>
        </w:rPr>
        <w:t xml:space="preserve">ПОСТАНОВЛЕНИЕ  </w:t>
      </w:r>
      <w:r>
        <w:rPr>
          <w:rFonts w:eastAsia="Times New Roman"/>
          <w:b w:val="false"/>
          <w:bCs/>
          <w:spacing w:val="60"/>
          <w:sz w:val="32"/>
          <w:szCs w:val="32"/>
        </w:rPr>
        <w:t xml:space="preserve">    </w:t>
      </w:r>
    </w:p>
    <w:tbl>
      <w:tblPr>
        <w:tblW w:w="4788" w:type="dxa"/>
        <w:jc w:val="left"/>
        <w:tblInd w:w="29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0" w:lastColumn="0" w:firstColumn="0" w:val="0000" w:noHBand="0" w:noVBand="0"/>
      </w:tblPr>
      <w:tblGrid>
        <w:gridCol w:w="511"/>
        <w:gridCol w:w="2853"/>
        <w:gridCol w:w="397"/>
        <w:gridCol w:w="1026"/>
      </w:tblGrid>
      <w:tr>
        <w:trPr/>
        <w:tc>
          <w:tcPr>
            <w:tcW w:w="511" w:type="dxa"/>
            <w:tcBorders/>
            <w:shd w:color="auto" w:fill="auto" w:val="clear"/>
            <w:vAlign w:val="bottom"/>
          </w:tcPr>
          <w:p>
            <w:pPr>
              <w:pStyle w:val="113"/>
              <w:rPr/>
            </w:pPr>
            <w:r>
              <w:rPr>
                <w:rFonts w:eastAsia="Times New Roman"/>
                <w:b w:val="false"/>
              </w:rPr>
              <w:t xml:space="preserve">           </w:t>
            </w:r>
            <w:r>
              <w:rPr>
                <w:b w:val="false"/>
              </w:rPr>
              <w:t>от</w:t>
            </w:r>
          </w:p>
        </w:tc>
        <w:tc>
          <w:tcPr>
            <w:tcW w:w="285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113"/>
              <w:jc w:val="left"/>
              <w:rPr/>
            </w:pPr>
            <w:r>
              <w:rPr>
                <w:b w:val="false"/>
              </w:rPr>
              <w:t>«17»  июля    2025</w:t>
            </w:r>
          </w:p>
        </w:tc>
        <w:tc>
          <w:tcPr>
            <w:tcW w:w="397" w:type="dxa"/>
            <w:tcBorders/>
            <w:shd w:color="auto" w:fill="auto" w:val="clear"/>
            <w:vAlign w:val="bottom"/>
          </w:tcPr>
          <w:p>
            <w:pPr>
              <w:pStyle w:val="113"/>
              <w:rPr/>
            </w:pPr>
            <w:r>
              <w:rPr>
                <w:rFonts w:eastAsia="Times New Roman"/>
                <w:b w:val="false"/>
              </w:rPr>
              <w:t xml:space="preserve"> </w:t>
            </w:r>
            <w:r>
              <w:rPr>
                <w:b w:val="false"/>
              </w:rPr>
              <w:t>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113"/>
              <w:rPr/>
            </w:pPr>
            <w:r>
              <w:rPr>
                <w:b w:val="false"/>
              </w:rPr>
              <w:t>392-п</w:t>
            </w:r>
          </w:p>
        </w:tc>
      </w:tr>
    </w:tbl>
    <w:p>
      <w:pPr>
        <w:pStyle w:val="113"/>
        <w:jc w:val="left"/>
        <w:rPr>
          <w:b w:val="false"/>
        </w:rPr>
      </w:pPr>
      <w:r>
        <w:rPr>
          <w:rFonts w:eastAsia="Times New Roman"/>
          <w:b w:val="false"/>
          <w:szCs w:val="24"/>
        </w:rPr>
        <w:t xml:space="preserve">                                                        </w:t>
      </w:r>
      <w:r>
        <w:rPr>
          <w:b w:val="false"/>
          <w:sz w:val="24"/>
          <w:szCs w:val="24"/>
        </w:rPr>
        <w:t>пгт. Верх-Чебула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</w:t>
      </w:r>
      <w:r>
        <w:rPr>
          <w:b/>
          <w:sz w:val="28"/>
          <w:szCs w:val="28"/>
          <w:lang w:eastAsia="ru-RU"/>
        </w:rPr>
        <w:t xml:space="preserve">б утверждении </w:t>
      </w:r>
      <w:r>
        <w:rPr>
          <w:b/>
          <w:sz w:val="28"/>
          <w:szCs w:val="28"/>
        </w:rPr>
        <w:t xml:space="preserve">условий и </w:t>
      </w:r>
      <w:r>
        <w:rPr>
          <w:b/>
          <w:bCs/>
          <w:sz w:val="28"/>
          <w:szCs w:val="28"/>
          <w:lang w:eastAsia="ru-RU"/>
        </w:rPr>
        <w:t xml:space="preserve">порядка заключения соглашений 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защите и поощрении капиталовложений со стороны 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Чебулинский муниципальный округ Кемеровской области - Кузбасса </w:t>
      </w:r>
    </w:p>
    <w:p>
      <w:pPr>
        <w:pStyle w:val="Normal"/>
        <w:ind w:left="284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 соответствии с пунктом 2 статьи 10 Федерального закона от 01.04.2020 года № 69-ФЗ «О защите и поощрении капиталовложений в Российской Федерации», постановлением Правительства Кемеровской области - Кузбасса от 07.11.2022 № 732 «Об утверждении Порядка заключения соглашений о защите и поощрении капиталовложений, стороной которых не является Российская Федерация, изменения и прекращения действия таких соглашений, особенностей раскрытия информации о бенефициарных владельцах организации, реализующей проект, в соответствии с общими требованиями, установленными Правительством Российской Федерации», </w:t>
      </w:r>
      <w:r>
        <w:rPr>
          <w:sz w:val="28"/>
          <w:szCs w:val="28"/>
        </w:rPr>
        <w:t>постановлением Правительства Кемеровской области — Кузбасса от 08.11.2022 № 735 «Об утверждении Порядка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проекта, в отношении которого заключено такое соглашение, в том числе этапов реализации инвестиционного проекта, в соответствии с общими требованиями к осуществлению такого мониторинга, установленными Правительством Российской Федерации», Уставом муниципального образования Чебулинский муниципальный округ Кемеровской области - Кузбасса</w:t>
      </w:r>
      <w:r>
        <w:rPr>
          <w:sz w:val="28"/>
          <w:szCs w:val="28"/>
          <w:lang w:eastAsia="ru-RU"/>
        </w:rPr>
        <w:t>:</w:t>
      </w:r>
    </w:p>
    <w:p>
      <w:pPr>
        <w:pStyle w:val="114"/>
        <w:numPr>
          <w:ilvl w:val="0"/>
          <w:numId w:val="2"/>
        </w:numPr>
        <w:spacing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условия и порядок заключения соглашений о защите и поощрении капиталовложений со стороны муниципального образования Чебулинский муниципальный округ Кемеровской области – Кузбасса, согласно приложению к настоящему постановлению.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93" w:leader="none"/>
        </w:tabs>
        <w:spacing w:before="2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после официального обнародования </w:t>
      </w:r>
      <w:bookmarkStart w:id="0" w:name="_GoBack"/>
      <w:bookmarkEnd w:id="0"/>
      <w:r>
        <w:rPr>
          <w:sz w:val="28"/>
          <w:szCs w:val="28"/>
        </w:rPr>
        <w:t>на официальном сайте администрации Чебулинского муниципального округа в информационно - телекоммуникационной сети «Интернет».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/>
        <w:jc w:val="both"/>
        <w:rPr/>
      </w:pPr>
      <w:r>
        <w:rPr>
          <w:sz w:val="28"/>
          <w:szCs w:val="28"/>
        </w:rPr>
        <w:t>Контроль за исполнением постановления возложить на заместителя главы Чебулинского муниципального округа по экономике Е.А. Камаеву.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1380"/>
        <w:jc w:val="both"/>
        <w:rPr/>
      </w:pPr>
      <w:r>
        <w:rPr/>
      </w:r>
    </w:p>
    <w:p>
      <w:pPr>
        <w:pStyle w:val="Normal"/>
        <w:widowControl w:val="false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>Врио главы Чебулинского</w:t>
      </w:r>
    </w:p>
    <w:p>
      <w:pPr>
        <w:pStyle w:val="Normal"/>
        <w:widowControl w:val="false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муниципального округа</w:t>
        <w:tab/>
        <w:tab/>
        <w:t xml:space="preserve">                                                        Ю.Н. Феоктистов</w:t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/>
      </w:pPr>
      <w:r>
        <w:rPr/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Приложение</w:t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к постановлению администрации</w:t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Чебулинского муниципального округа</w:t>
      </w:r>
    </w:p>
    <w:p>
      <w:pPr>
        <w:pStyle w:val="Normal"/>
        <w:ind w:firstLine="567"/>
        <w:jc w:val="right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от 17.07. 2025 года № 392-п</w:t>
      </w:r>
    </w:p>
    <w:p>
      <w:pPr>
        <w:pStyle w:val="Normal"/>
        <w:ind w:firstLine="56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56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567"/>
        <w:jc w:val="center"/>
        <w:rPr/>
      </w:pPr>
      <w:r>
        <w:rPr>
          <w:b/>
          <w:bCs/>
          <w:sz w:val="28"/>
          <w:szCs w:val="28"/>
          <w:lang w:eastAsia="ru-RU"/>
        </w:rPr>
        <w:t>Условия и порядок заключения соглашений о защите и поощрении капиталовложений со стороны муниципального образования Чебулинский муниципальный округ Кемеровской области – Кузбасса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firstLine="567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1. Общие положения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1.1. Настоящие условия и порядок заключения соглашений о защите и поощрении капиталовложений со стороны муниципального образования Чебулинский муниципальный округ Кемеровской области - Кузбасса (далее - Порядок) устанавливает условия и порядок заключения соглашений о защите и поощрении капиталовложений со стороны муниципального образования Чебулинский муниципальный округ Кемеровской области – Кузбасса.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 Структурным подразделением администрации муниципального образования Чебулинский муниципальный округ Кемеровской области – Кузбасса в сфере согласования соглашений о защите и поощрении капиталовложений со стороны муниципального образования Чебулинский муниципальный округ Кемеровской области – Кузбасса (далее - Соглашение) является отдел экономики администрации Чебулинского муниципального округа.</w:t>
      </w:r>
    </w:p>
    <w:p>
      <w:pPr>
        <w:pStyle w:val="Normal"/>
        <w:ind w:firstLine="567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1.3. К отношениям, возникающим в связи с согласованием,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от 01.04.2020 № 69-ФЗ «О защите и поощрении капиталовложений в Российской Федерации». (далее – Федеральный закон).</w:t>
      </w:r>
    </w:p>
    <w:p>
      <w:pPr>
        <w:pStyle w:val="Normal"/>
        <w:ind w:firstLine="567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2. Предмет и условия Соглашения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 Порядок применяется к Соглашению (дополнительным соглашениям к нему), заключаемому (заключаемым) в случае частной проектной инициативы на основании заявления о заключении Соглашения о защите и поощрении капиталовложений, согласно приложению к настоящему постановлению.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2.2. Соглашение может быть заключено не позднее 1 января 2030 года.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2.3. Муниципальное образование Чебулинский муниципальный округ Кемеровской области – Кузбасса может быть стороной соглашения, если одновременно стороной такого соглашения является Кемеровская область – Кузбасс.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2.4. Соглашение заключается в отношении проекта, который удовлетворяет требованиям Федерального закона, с юридическим лицом, зарегистрированным на территории Российской Федерации, реализующим инвестиционный проект, в том числе с проектной компанией (за исключением государственных и муниципальных учреждений, а также государственных и муниципальных унитарных предприятий), представившим достоверную информацию о себе, в том числе информацию, соответствующую сведениям, содержащимся в едином государственном реестре юридических лиц, включая сведения о том, что заявитель не находится в процессе ликвидации, или в его отношении не принято решение о предстоящем исключении юридического лица из единого государственного реестра юридических лиц, в отношении заявителя не открыто конкурсное производство в соответствии с Федеральным законом от 26.10.2002 № 127-ФЗ «О несостоятельности (банкротстве)» (далее – Заявитель).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 Соглашение заключается в отношении инвестиционного проекта, который удовлетворяет следующим требованиям: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2.5.1. Инвестиционный проект отвечает признакам инвестиционного проекта, предусмотренным пунктом 3 части 1 статьи 2 Федерального закона.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2.5.2. Инвестиционный проект отвечает признакам нового инвестиционного проекта, предусмотренным пунктом 6 части 1 статьи 2 Федерального закона.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2.5.3. Инвестиционный проект реализуется в сфере российской экономики, которая отвечает требованиям, установленным статьей 6 Федерального закона.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2.5.4. Планируемый Заявителем объем капиталовложений в инвестиционный проект (а в случае, если инвестиционный проект реализуется на момент подачи заявления, общий объем осуществленных и планируемых к осуществлению капиталовложений) соответствует положениям пункта 1 части 4 статьи 9 Федерального закона (при этом для случаев заключения Соглашения в отношении нового инвестиционного проекта, предусмотренного подпунктом «а» пункта 6 части 1 статьи 2 Федерального закона, соблюдаются требования, установленные частью 3.1 статьи 7 Федерального закона).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2.5.5. Вложенные в инвестиционный проект и (или) планируемые к вложению в инвестиционный проект денежные средства (капиталовложения) отвечают требованиям, установленным пунктом 5 части 1 статьи 2 Федерального закона.</w:t>
      </w:r>
    </w:p>
    <w:p>
      <w:pPr>
        <w:pStyle w:val="Normal"/>
        <w:ind w:firstLine="567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2.6.Муниципальное образование Чебулинский муниципальный округ Кемеровской области – Кузбасса при заключении Соглашения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>
      <w:pPr>
        <w:pStyle w:val="Normal"/>
        <w:ind w:firstLine="567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3. Согласование Соглашения</w:t>
      </w:r>
      <w:bookmarkStart w:id="1" w:name="_GoBack1"/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3.1.При поступлении заявления (приложение к Порядку), прилагаемых к нему документов и материалов, проекта Соглашения (проекта дополнительного соглашения к нему) от органа государственной власти Кемеровской области – Кузбасса, уполномоченного на подписание Соглашения (далее – уполномоченный орган Кемеровской области – Кузбасса), отдел экономики администрации Чебулинского муниципального округа рассматривает указанные в настоящем пункте документы, а также (если применимо) ходатайство Заявителя о признании ранее заключенного договора в качестве связанного договора и (или) о включении в Соглашение обязанностей муниципального образования Чебулинский муниципальный округ Кемеровской области – Кузбасса, предусмотренных частью 9 статьи 10 Федерального закона, в срок, указанный в письме уполномоченного органа Кемеровской области – Кузбасса, но не превышающий 15 рабочих дней со дня поступления сопроводительного письма, а также заявления и прилагаемых к нему документов.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3.2. При отсутствии оснований, предусмотренных частью 14 статьи 7 Федерального закона, глава муниципального образования Чебулинский  муниципальный округ подписывает проект Соглашения не позднее срока, указанного в пункте 3.1 Порядка, и все экземпляры подписанного проекта Соглашения отдел экономики администрации Чебулинского муниципального округа направляет в уполномоченный орган Кемеровской области – Кузбасса.</w:t>
      </w:r>
    </w:p>
    <w:p>
      <w:pPr>
        <w:pStyle w:val="Normal"/>
        <w:ind w:firstLine="567"/>
        <w:jc w:val="both"/>
        <w:rPr/>
      </w:pPr>
      <w:r>
        <w:rPr>
          <w:sz w:val="28"/>
          <w:szCs w:val="28"/>
          <w:lang w:eastAsia="ru-RU"/>
        </w:rPr>
        <w:t>3.3. Изменение условий Соглашения не допускается, за исключением случаев, указанных в части 6 статьи 11 Федерального закона, путем заключения дополнительного соглашения.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firstLine="567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4. Мониторинг исполнения условий Соглашения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4.1. Мониторинг исполнения условий Соглашения осуществляется в целях сбора, систематизации и учета информации о ходе исполнения условий Соглашения и условий реализации инвестиционного проекта, в том числе этапов реализации инвестиционного проекта, а также выявления обстоятельств, указывающих на наличие оснований для расторжения Соглашений.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4.2. Организация, реализующая инвестиционный проект, не позднее 1 февраля года, следующего за годом, в котором заключено Соглашение (в отношении представления информации о реализации соответствующего этапа инвестиционного проекта –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Соглашением), представляет в отдел экономики администрации Чебулинского муниципального округа данные об исполнении условий Соглашения и условий реализации инвестиционного проекта, в том числе информацию о реализации соответствующего этапа инвестиционного проекта (если применимо) (далее – данные, представленные организацией, реализующей инвестиционный проект), по примерной форме, установленной уполномоченным органом Кемеровской области – Кузбасса.</w:t>
      </w:r>
    </w:p>
    <w:p>
      <w:pPr>
        <w:pStyle w:val="Normal"/>
        <w:ind w:firstLine="567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4.3. Отдел экономики администрации Чебулинского муниципального округа в течении 10 рабочих дней со дня представления данных, представленных организацией, реализующей инвестиционный проект, осуществляет проверку исполнения организацией, реализующей инвестиционный проект, условий Соглашения и условий реализации инвестиционного проекта, в том числе соответствующих этапов реализации инвестиционного проекта (если применимо) и направляет в уполномоченный орган Кемеровской области – Кузбасса отчет об исполнении условий Соглашений и условий реализации инвестиционных проектов, в том числе этапов реализации инвестиционных проектов, реализуемых на территории Чебулинского муниципального округа Кемеровской области – Кузбасса, в соответствии с формой, установленной уполномоченным органом Кемеровской области – Кузбасса, содержащей, в том числе основания для изменения или расторжения Соглашения.</w:t>
      </w:r>
    </w:p>
    <w:p>
      <w:pPr>
        <w:pStyle w:val="Normal"/>
        <w:ind w:firstLine="567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5. Заключительные положения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5.1.Соглашение может быть расторгнуто в любое время по соглашению сторон, если это не нарушает условий связанного договора.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Каждая сторона Соглашения вправе отказаться от исполнения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одного из условий, предусмотренных частью 14 статьи 11 Федерального закона.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5.2. Муниципальное образование Чебулинский муниципальный округ Кемеровской области – Кузбасса требует расторжения Соглашения в порядке, предусмотренном статьей 13 Федерального закона, при выявлении любого из обстоятельств, в том числе по результатам мониторинга, указанным в части 13 статьи 11 Федерального закона.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Муниципальное образование Чебулинский муниципальный округ Кемеровской области – Кузбасса отказывается от исполнения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условий, указанных в части 14 статьи 11 Федерального закона.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Организация, реализующая инвестиционный проект, вправе потребовать расторжения Соглашения о защите и поощрении капиталовложений в порядке, предусмотренном статьей 13 Федерального закона, в случае существенного нарушения его условий муниципальным образованием Чебулинский муниципальный округ Кемеровской области – Кузбасса при условии, что такое требование организации, реализующей инвестиционный проект, не нарушает условий связанного договора.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5.3. Для прекращения действия Соглашения сторона, инициирующая прекращение действия Соглашения, составляет и подписывает проект дополнительного соглашения о расторжении Соглашения в количестве экземпляров, равном числу сторон Соглашения, составленный по форме, установленной уполномоченным органом Кемеровской области – Кузбасса, и направляет (передает) не позднее чем за 30 рабочих дней до предполагаемой даты расторжения Соглашения иным сторонам Соглашения соответствующий экземпляр уведомления о намерении расторгнуть Соглашение и все экземпляры проекта дополнительного соглашения о расторжении Соглашения.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отсутствии возражений сторона, получившая документы и материалы, указанные в абзаце первом настоящего пункта, в течение 3 рабочих дней со дня их получения подписывает все экземпляры дополнительного соглашения о расторжении Соглашения и направляет их в уполномоченный орган Кемеровской области - Кузбасса.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5.4. В случае, если хотя бы одна из сторон возражает относительно прекращения действия Соглашения, дополнительное соглашение о прекращении действия Соглашения не может быть заключено.</w:t>
      </w:r>
    </w:p>
    <w:p>
      <w:pPr>
        <w:pStyle w:val="Normal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5.5. При недостижении согласия, расторжение Соглашения производится в судебном порядке.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5.6. Датой прекращения действия Соглашения считается дата вступления в законную силу решения суда о расторжении соглашения, если иная дата не установлена указанным решением суда.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Приложение </w:t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к  Условиям и порядку заключения</w:t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соглашений о защите и поощрении </w:t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капиталовложений со стороны </w:t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ind w:firstLine="567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Чебулинский муниципальный округ </w:t>
      </w:r>
    </w:p>
    <w:p>
      <w:pPr>
        <w:pStyle w:val="Normal"/>
        <w:ind w:firstLine="567"/>
        <w:jc w:val="right"/>
        <w:rPr>
          <w:lang w:eastAsia="ru-RU"/>
        </w:rPr>
      </w:pPr>
      <w:r>
        <w:rPr>
          <w:bCs/>
          <w:sz w:val="28"/>
          <w:szCs w:val="28"/>
          <w:lang w:eastAsia="ru-RU"/>
        </w:rPr>
        <w:t>Кемеровской области – Кузбасса</w:t>
      </w:r>
      <w:bookmarkStart w:id="2" w:name="_GoBack2"/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 </w:t>
      </w:r>
    </w:p>
    <w:p>
      <w:pPr>
        <w:pStyle w:val="Normal"/>
        <w:ind w:firstLine="567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567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567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567"/>
        <w:jc w:val="right"/>
        <w:rPr>
          <w:lang w:eastAsia="ru-RU"/>
        </w:rPr>
      </w:pPr>
      <w:r>
        <w:rPr>
          <w:lang w:eastAsia="ru-RU"/>
        </w:rPr>
        <w:t>Главе Чебулинского муниципального округа</w:t>
      </w:r>
    </w:p>
    <w:p>
      <w:pPr>
        <w:pStyle w:val="Normal"/>
        <w:ind w:firstLine="567"/>
        <w:jc w:val="right"/>
        <w:rPr>
          <w:lang w:eastAsia="ru-RU"/>
        </w:rPr>
      </w:pPr>
      <w:r>
        <w:rPr>
          <w:lang w:eastAsia="ru-RU"/>
        </w:rPr>
        <w:t>______________________</w:t>
      </w:r>
    </w:p>
    <w:p>
      <w:pPr>
        <w:pStyle w:val="Normal"/>
        <w:ind w:firstLine="567"/>
        <w:jc w:val="both"/>
        <w:rPr>
          <w:b/>
          <w:bCs/>
          <w:lang w:eastAsia="ru-RU"/>
        </w:rPr>
      </w:pPr>
      <w:r>
        <w:rPr>
          <w:lang w:eastAsia="ru-RU"/>
        </w:rPr>
        <w:t> </w:t>
      </w:r>
    </w:p>
    <w:p>
      <w:pPr>
        <w:pStyle w:val="Normal"/>
        <w:ind w:firstLine="567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Заявление</w:t>
      </w:r>
      <w:bookmarkStart w:id="3" w:name="P84"/>
    </w:p>
    <w:p>
      <w:pPr>
        <w:pStyle w:val="Normal"/>
        <w:ind w:firstLine="567"/>
        <w:jc w:val="center"/>
        <w:rPr>
          <w:lang w:eastAsia="ru-RU"/>
        </w:rPr>
      </w:pPr>
      <w:r>
        <w:rPr>
          <w:b/>
          <w:bCs/>
          <w:lang w:eastAsia="ru-RU"/>
        </w:rPr>
        <w:t>о даче согласия на заключение (присоединение) к Соглашению о защите и поощрении капиталовложений со стороны Чебулинского муниципального округа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_______________________________________________________________________________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(полное наименование инвестора (организации, реализующей проект)</w:t>
      </w:r>
    </w:p>
    <w:p>
      <w:pPr>
        <w:pStyle w:val="Normal"/>
        <w:ind w:firstLine="567"/>
        <w:jc w:val="both"/>
        <w:rPr>
          <w:sz w:val="20"/>
          <w:szCs w:val="20"/>
          <w:lang w:eastAsia="ru-RU"/>
        </w:rPr>
      </w:pPr>
      <w:r>
        <w:rPr>
          <w:lang w:eastAsia="ru-RU"/>
        </w:rPr>
        <w:t>в лице _______________________________________________________________________,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sz w:val="20"/>
          <w:szCs w:val="20"/>
          <w:lang w:eastAsia="ru-RU"/>
        </w:rPr>
        <w:t xml:space="preserve">                   </w:t>
      </w:r>
      <w:r>
        <w:rPr>
          <w:sz w:val="20"/>
          <w:szCs w:val="20"/>
          <w:lang w:eastAsia="ru-RU"/>
        </w:rPr>
        <w:t>(должность, фамилия, имя, отчество (последнее - при наличии) уполномоченного лица)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действующего на основании ____________________________________________________,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</w:t>
      </w:r>
      <w:r>
        <w:rPr>
          <w:sz w:val="20"/>
          <w:szCs w:val="20"/>
          <w:lang w:eastAsia="ru-RU"/>
        </w:rPr>
        <w:t>(устав, доверенность, приказ или иной документ, удостоверяющий полномочия)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 </w:t>
      </w:r>
    </w:p>
    <w:p>
      <w:pPr>
        <w:pStyle w:val="Normal"/>
        <w:ind w:firstLine="567"/>
        <w:jc w:val="both"/>
        <w:rPr>
          <w:sz w:val="20"/>
          <w:szCs w:val="20"/>
          <w:lang w:eastAsia="ru-RU"/>
        </w:rPr>
      </w:pPr>
      <w:r>
        <w:rPr>
          <w:lang w:eastAsia="ru-RU"/>
        </w:rPr>
        <w:t>просит подтвердить согласие на заключение (присоединение) к Соглашению о защите и поощрении капиталовложений со стороны Чебулинского муниципального округа для реализации инвестиционного проекта «________________________________________________________».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</w:t>
      </w:r>
      <w:r>
        <w:rPr>
          <w:sz w:val="20"/>
          <w:szCs w:val="20"/>
          <w:lang w:eastAsia="ru-RU"/>
        </w:rPr>
        <w:t>(наименование инвестиционного проекта)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включение в Соглашение о защите и поощрении капиталовложений условия о применении муниципальных нормативных актов Чебулинского муниципального округа с учетом особенностей, установленных статьей 9 Федерального закона </w:t>
      </w:r>
      <w:r>
        <w:fldChar w:fldCharType="begin"/>
      </w:r>
      <w:r>
        <w:rPr>
          <w:rStyle w:val="Hyperlink"/>
          <w:lang w:eastAsia="ru-RU"/>
        </w:rPr>
        <w:instrText xml:space="preserve"> HYPERLINK "https://pravo-search.minjust.ru/bigs/showDocument.html?id=0A4F144F-6AD0-442A-82D6-F343EF8C03E0" \l "_blank"</w:instrText>
      </w:r>
      <w:r>
        <w:rPr>
          <w:rStyle w:val="Hyperlink"/>
          <w:lang w:eastAsia="ru-RU"/>
        </w:rPr>
        <w:fldChar w:fldCharType="separate"/>
      </w:r>
      <w:r>
        <w:rPr>
          <w:rStyle w:val="Hyperlink"/>
          <w:lang w:eastAsia="ru-RU"/>
        </w:rPr>
        <w:t>№ 69-ФЗ</w:t>
      </w:r>
      <w:r>
        <w:rPr>
          <w:rStyle w:val="Hyperlink"/>
          <w:lang w:eastAsia="ru-RU"/>
        </w:rPr>
        <w:fldChar w:fldCharType="end"/>
      </w:r>
    </w:p>
    <w:p>
      <w:pPr>
        <w:pStyle w:val="Normal"/>
        <w:ind w:firstLine="567"/>
        <w:jc w:val="both"/>
        <w:rPr>
          <w:sz w:val="20"/>
          <w:szCs w:val="20"/>
          <w:lang w:eastAsia="ru-RU"/>
        </w:rPr>
      </w:pPr>
      <w:r>
        <w:rPr>
          <w:lang w:eastAsia="ru-RU"/>
        </w:rPr>
        <w:t>_____________________________________________________________________________</w:t>
      </w:r>
    </w:p>
    <w:p>
      <w:pPr>
        <w:pStyle w:val="Normal"/>
        <w:ind w:firstLine="567"/>
        <w:jc w:val="center"/>
        <w:rPr>
          <w:lang w:eastAsia="ru-RU"/>
        </w:rPr>
      </w:pPr>
      <w:r>
        <w:rPr>
          <w:sz w:val="20"/>
          <w:szCs w:val="20"/>
          <w:lang w:eastAsia="ru-RU"/>
        </w:rPr>
        <w:t>(указываются акты (решения))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(в соответствии с частью 3 статьи 9 Федерального закона </w:t>
      </w:r>
      <w:r>
        <w:fldChar w:fldCharType="begin"/>
      </w:r>
      <w:r>
        <w:rPr>
          <w:rStyle w:val="Hyperlink"/>
          <w:lang w:eastAsia="ru-RU"/>
        </w:rPr>
        <w:instrText xml:space="preserve"> HYPERLINK "https://pravo-search.minjust.ru/bigs/showDocument.html?id=0A4F144F-6AD0-442A-82D6-F343EF8C03E0" \l "_blank"</w:instrText>
      </w:r>
      <w:r>
        <w:rPr>
          <w:rStyle w:val="Hyperlink"/>
          <w:lang w:eastAsia="ru-RU"/>
        </w:rPr>
        <w:fldChar w:fldCharType="separate"/>
      </w:r>
      <w:r>
        <w:rPr>
          <w:rStyle w:val="Hyperlink"/>
          <w:lang w:eastAsia="ru-RU"/>
        </w:rPr>
        <w:t>№ 69-ФЗ</w:t>
      </w:r>
      <w:r>
        <w:rPr>
          <w:rStyle w:val="Hyperlink"/>
          <w:lang w:eastAsia="ru-RU"/>
        </w:rPr>
        <w:fldChar w:fldCharType="end"/>
      </w:r>
      <w:r>
        <w:rPr>
          <w:lang w:eastAsia="ru-RU"/>
        </w:rPr>
        <w:t> с обоснованием применения стабилизационной оговорки)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 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I. Сведения об организации</w:t>
      </w:r>
    </w:p>
    <w:tbl>
      <w:tblPr>
        <w:tblW w:w="9122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672"/>
        <w:gridCol w:w="4648"/>
        <w:gridCol w:w="3802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№ </w:t>
            </w:r>
            <w:r>
              <w:rPr>
                <w:lang w:eastAsia="ru-RU"/>
              </w:rPr>
              <w:t>п/п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Наименование сведений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Сведения (заполняются инвестором)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1.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Сокращенное наименование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2.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ИНН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3.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ОГРН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4.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КПП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5.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ОКПО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6.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ОКВЭД (основной)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7.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Адрес места нахождения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8.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Фактический адрес (при наличии)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9.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Адрес электронной почты уполномоченного лица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10.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Телефон уполномоченного лица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</w:tbl>
    <w:p>
      <w:pPr>
        <w:pStyle w:val="Normal"/>
        <w:jc w:val="both"/>
        <w:rPr>
          <w:lang w:eastAsia="ru-RU"/>
        </w:rPr>
      </w:pPr>
      <w:r>
        <w:rPr>
          <w:lang w:eastAsia="ru-RU"/>
        </w:rPr>
        <w:t> </w:t>
      </w:r>
    </w:p>
    <w:p>
      <w:pPr>
        <w:pStyle w:val="Normal"/>
        <w:jc w:val="both"/>
        <w:rPr>
          <w:lang w:eastAsia="ru-RU"/>
        </w:rPr>
      </w:pPr>
      <w:r>
        <w:rPr>
          <w:lang w:eastAsia="ru-RU"/>
        </w:rPr>
        <w:t>II. Сведения об инвестиционном проекте</w:t>
      </w:r>
    </w:p>
    <w:tbl>
      <w:tblPr>
        <w:tblW w:w="9122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672"/>
        <w:gridCol w:w="4648"/>
        <w:gridCol w:w="3802"/>
      </w:tblGrid>
      <w:tr>
        <w:trPr>
          <w:trHeight w:val="72" w:hRule="atLeast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72"/>
              <w:jc w:val="both"/>
              <w:rPr/>
            </w:pPr>
            <w:r>
              <w:rPr>
                <w:lang w:eastAsia="ru-RU"/>
              </w:rPr>
              <w:t>№ </w:t>
            </w:r>
            <w:r>
              <w:rPr>
                <w:lang w:eastAsia="ru-RU"/>
              </w:rPr>
              <w:t>п/п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72"/>
              <w:jc w:val="both"/>
              <w:rPr/>
            </w:pPr>
            <w:r>
              <w:rPr>
                <w:lang w:eastAsia="ru-RU"/>
              </w:rPr>
              <w:t>Наименование сведений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72"/>
              <w:jc w:val="both"/>
              <w:rPr/>
            </w:pPr>
            <w:r>
              <w:rPr>
                <w:lang w:eastAsia="ru-RU"/>
              </w:rPr>
              <w:t>Сведения (заполняются инвестором)</w:t>
            </w:r>
          </w:p>
        </w:tc>
      </w:tr>
      <w:tr>
        <w:trPr>
          <w:trHeight w:val="593" w:hRule="atLeast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1.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Сфера экономики (вид деятельности), в которой реализуется инвестиционный проект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2.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Общий срок и этапы реализации инвестиционного проекта, а также сроки реализации каждого этапа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3.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Территория реализации инвестиционного проекта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4.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Планируемая дата окончания реализации проекта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5.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6.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7.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Сведения о разрешении на строительство в случае, если инвестиционный проект направлен на создание (строительство) и (или) реконструкцию объекта (объектов) капитального строительства, или градостроительный план земельного участка (для линейных объектов - проект планировки территории) на земельный участок, предназначенный для строительства и (или) реконструкции объекта капитального строительства, о планируемом сроке получения разрешения на строительство соответствующего объекта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8.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Сведения о товарах, работах, услугах, планируемых к производству, выполнению или оказанию в рамках реализации инвестиционного проекта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9.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Сведения о предполагаемых сроках производства товаров, выполнения работ, оказания услуг в рамках реализации инвестиционного проекта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10.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Сведения о мощности инвестиционного проекта, планируемых объемах реализации товаров, выполнения работ, оказания услуг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11.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Сведения о планируемом количестве новых рабочих мест, прогноз затрат, связанных с персоналом, в рамках реализации инвестиционного проекта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12.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lang w:eastAsia="ru-RU"/>
              </w:rPr>
              <w:t>Дополнительная информация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</w:tbl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 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Подписание настоящего заявления означает согласие инвестора на осуществление в целях заключения, изменения, прекращения действия (расторжения) соглашения, заключения дополнительных соглашений к нему и в соответствии с требованиями законодательства Российской Федерации обработки (в том числе сбор, запись, систематизацию, накопление, хранение, уточнение (обновление, изменение), извлечение, использование, передачу, обезличивание) персональных данных физических лиц, информация о которых представлена заявителем, сведений о заявителе, о проекте, о заключаемом соглашении, о дополнительных соглашениях к нему и информации о действиях (решениях), связанных с исполнением указанных соглашений.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 </w:t>
      </w:r>
    </w:p>
    <w:p>
      <w:pPr>
        <w:pStyle w:val="Normal"/>
        <w:ind w:firstLine="567"/>
        <w:jc w:val="both"/>
        <w:rPr>
          <w:sz w:val="20"/>
          <w:szCs w:val="20"/>
          <w:lang w:eastAsia="ru-RU"/>
        </w:rPr>
      </w:pPr>
      <w:r>
        <w:rPr>
          <w:lang w:eastAsia="ru-RU"/>
        </w:rPr>
        <w:t>________________________________</w:t>
      </w:r>
    </w:p>
    <w:p>
      <w:pPr>
        <w:pStyle w:val="Normal"/>
        <w:ind w:firstLine="708" w:left="1416"/>
        <w:jc w:val="both"/>
        <w:rPr>
          <w:lang w:eastAsia="ru-RU"/>
        </w:rPr>
      </w:pPr>
      <w:r>
        <w:rPr>
          <w:sz w:val="20"/>
          <w:szCs w:val="20"/>
          <w:lang w:eastAsia="ru-RU"/>
        </w:rPr>
        <w:t>(дата)</w:t>
      </w:r>
    </w:p>
    <w:p>
      <w:pPr>
        <w:pStyle w:val="Normal"/>
        <w:ind w:firstLine="567"/>
        <w:jc w:val="both"/>
        <w:rPr>
          <w:sz w:val="20"/>
          <w:szCs w:val="20"/>
          <w:lang w:eastAsia="ru-RU"/>
        </w:rPr>
      </w:pPr>
      <w:r>
        <w:rPr>
          <w:lang w:eastAsia="ru-RU"/>
        </w:rPr>
        <w:t>________________________________           ___________             _________________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sz w:val="20"/>
          <w:szCs w:val="20"/>
          <w:lang w:eastAsia="ru-RU"/>
        </w:rPr>
        <w:t>(должность уполномоченного лица)                                      (подпись)                (ФИО уполномоченного лица)</w:t>
      </w:r>
    </w:p>
    <w:p>
      <w:pPr>
        <w:pStyle w:val="Normal"/>
        <w:ind w:firstLine="567"/>
        <w:jc w:val="both"/>
        <w:rPr>
          <w:lang w:eastAsia="ru-RU"/>
        </w:rPr>
      </w:pPr>
      <w:r>
        <w:rPr>
          <w:lang w:eastAsia="ru-RU"/>
        </w:rPr>
        <w:t> 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lang w:eastAsia="ru-RU"/>
        </w:rPr>
        <w:t> </w:t>
      </w:r>
      <w:bookmarkEnd w:id="1"/>
      <w:bookmarkEnd w:id="2"/>
      <w:bookmarkEnd w:id="3"/>
    </w:p>
    <w:p>
      <w:pPr>
        <w:pStyle w:val="Normal"/>
        <w:widowControl w:val="false"/>
        <w:ind w:firstLine="283" w:left="284" w:right="605"/>
        <w:jc w:val="center"/>
        <w:rPr/>
      </w:pPr>
      <w:r>
        <w:rPr/>
      </w:r>
    </w:p>
    <w:sectPr>
      <w:headerReference w:type="default" r:id="rId3"/>
      <w:type w:val="nextPage"/>
      <w:pgSz w:w="11906" w:h="16838"/>
      <w:pgMar w:left="851" w:right="675" w:gutter="0" w:header="709" w:top="766" w:footer="0" w:bottom="851"/>
      <w:pgNumType w:start="2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Tahoma">
    <w:charset w:val="01"/>
    <w:family w:val="roman"/>
    <w:pitch w:val="default"/>
  </w:font>
  <w:font w:name="TimesDL">
    <w:charset w:val="01"/>
    <w:family w:val="roman"/>
    <w:pitch w:val="default"/>
  </w:font>
  <w:font w:name="Century Gothic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Verdan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ru-RU" w:eastAsia="ru-RU"/>
      </w:rPr>
    </w:pPr>
    <w:r>
      <w:rPr>
        <w:lang w:val="ru-RU" w:eastAsia="ru-RU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9989185</wp:posOffset>
              </wp:positionH>
              <wp:positionV relativeFrom="page">
                <wp:posOffset>3393440</wp:posOffset>
              </wp:positionV>
              <wp:extent cx="429895" cy="626110"/>
              <wp:effectExtent l="0" t="0" r="0" b="0"/>
              <wp:wrapNone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429840" cy="626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overflowPunct w:val="true"/>
                            <w:jc w:val="center"/>
                            <w:rPr>
                              <w:kern w:val="2"/>
                            </w:rPr>
                          </w:pPr>
                          <w:r>
                            <w:rPr>
                              <w:color w:val="000000"/>
                              <w:kern w:val="2"/>
                            </w:rPr>
                            <w:t>2</w:t>
                          </w:r>
                        </w:p>
                      </w:txbxContent>
                    </wps:txbx>
                    <wps:bodyPr lIns="45720" rIns="45720" tIns="91440" bIns="9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fillcolor="white" stroked="f" o:allowincell="f" style="position:absolute;margin-left:786.55pt;margin-top:267.2pt;width:33.8pt;height:49.25pt;mso-wrap-style:square;v-text-anchor:top;rotation:180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overflowPunct w:val="true"/>
                      <w:jc w:val="center"/>
                      <w:rPr>
                        <w:kern w:val="2"/>
                      </w:rPr>
                    </w:pPr>
                    <w:r>
                      <w:rPr>
                        <w:color w:val="000000"/>
                        <w:kern w:val="2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3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2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Heading1">
    <w:name w:val="Heading 1"/>
    <w:basedOn w:val="Normal"/>
    <w:next w:val="Normal"/>
    <w:qFormat/>
    <w:pPr>
      <w:keepNext w:val="true"/>
      <w:tabs>
        <w:tab w:val="clear" w:pos="708"/>
        <w:tab w:val="left" w:pos="0" w:leader="none"/>
      </w:tabs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paragraph" w:styleId="Heading3">
    <w:name w:val="Heading 3"/>
    <w:basedOn w:val="Normal"/>
    <w:next w:val="Normal"/>
    <w:qFormat/>
    <w:pPr>
      <w:keepNext w:val="true"/>
      <w:tabs>
        <w:tab w:val="clear" w:pos="708"/>
        <w:tab w:val="left" w:pos="0" w:leader="none"/>
      </w:tabs>
      <w:spacing w:before="120" w:after="0"/>
      <w:jc w:val="center"/>
      <w:outlineLvl w:val="2"/>
    </w:pPr>
    <w:rPr>
      <w:i/>
      <w:iCs/>
      <w:sz w:val="28"/>
      <w:lang w:val="x-none"/>
    </w:rPr>
  </w:style>
  <w:style w:type="paragraph" w:styleId="Heading4">
    <w:name w:val="Heading 4"/>
    <w:basedOn w:val="Normal"/>
    <w:next w:val="Normal"/>
    <w:qFormat/>
    <w:pPr>
      <w:keepNext w:val="true"/>
      <w:tabs>
        <w:tab w:val="clear" w:pos="708"/>
        <w:tab w:val="left" w:pos="0" w:leader="none"/>
      </w:tabs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qFormat/>
    <w:pPr>
      <w:tabs>
        <w:tab w:val="clear" w:pos="708"/>
        <w:tab w:val="left" w:pos="0" w:leader="none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qFormat/>
    <w:pPr>
      <w:tabs>
        <w:tab w:val="clear" w:pos="708"/>
        <w:tab w:val="left" w:pos="0" w:leader="none"/>
      </w:tabs>
      <w:spacing w:before="240" w:after="60"/>
      <w:outlineLvl w:val="5"/>
    </w:pPr>
    <w:rPr>
      <w:rFonts w:ascii="Calibri" w:hAnsi="Calibri" w:cs="Calibri"/>
      <w:b/>
      <w:bCs/>
      <w:sz w:val="22"/>
      <w:szCs w:val="22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9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szCs w:val="20"/>
      <w:u w:val="none"/>
      <w:vertAlign w:val="baseline"/>
      <w:lang w:val="ru-RU" w:bidi="ru-RU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szCs w:val="20"/>
      <w:u w:val="none"/>
      <w:vertAlign w:val="baseline"/>
      <w:lang w:val="ru-RU" w:bidi="ru-RU"/>
    </w:rPr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/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>
      <w:rFonts w:ascii="Symbol" w:hAnsi="Symbol" w:cs="Symbol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6z0" w:customStyle="1">
    <w:name w:val="WW8Num16z0"/>
    <w:qFormat/>
    <w:rPr>
      <w:rFonts w:ascii="Times New Roman" w:hAnsi="Times New Roman" w:eastAsia="Times New Roman" w:cs="Times New Roman"/>
      <w:b/>
    </w:rPr>
  </w:style>
  <w:style w:type="character" w:styleId="WW8Num17z0" w:customStyle="1">
    <w:name w:val="WW8Num17z0"/>
    <w:qFormat/>
    <w:rPr>
      <w:rFonts w:ascii="Symbol" w:hAnsi="Symbol" w:cs="Symbo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8z0" w:customStyle="1">
    <w:name w:val="WW8Num18z0"/>
    <w:qFormat/>
    <w:rPr/>
  </w:style>
  <w:style w:type="character" w:styleId="11" w:customStyle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3" w:customStyle="1">
    <w:name w:val="Заголовок 3 Знак"/>
    <w:qFormat/>
    <w:rPr>
      <w:rFonts w:ascii="Times New Roman" w:hAnsi="Times New Roman" w:eastAsia="Times New Roman" w:cs="Times New Roman"/>
      <w:i/>
      <w:iCs/>
      <w:sz w:val="28"/>
      <w:szCs w:val="24"/>
    </w:rPr>
  </w:style>
  <w:style w:type="character" w:styleId="4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5" w:customStyle="1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6" w:customStyle="1">
    <w:name w:val="Заголовок 6 Знак"/>
    <w:qFormat/>
    <w:rPr>
      <w:rFonts w:ascii="Calibri" w:hAnsi="Calibri" w:eastAsia="Times New Roman" w:cs="Calibri"/>
      <w:b/>
      <w:bCs/>
      <w:sz w:val="22"/>
      <w:szCs w:val="22"/>
      <w:lang w:val="en-GB"/>
    </w:rPr>
  </w:style>
  <w:style w:type="character" w:styleId="Pagenumber">
    <w:name w:val="page number"/>
    <w:basedOn w:val="1"/>
    <w:qFormat/>
    <w:rPr/>
  </w:style>
  <w:style w:type="character" w:styleId="Style9" w:customStyle="1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1" w:customStyle="1">
    <w:name w:val="Основной текст с отступом Знак"/>
    <w:qFormat/>
    <w:rPr>
      <w:rFonts w:eastAsia="Times New Roman"/>
      <w:lang w:val="en-GB"/>
    </w:rPr>
  </w:style>
  <w:style w:type="character" w:styleId="Style12" w:customStyle="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3" w:customStyle="1">
    <w:name w:val="Основной текст Знак"/>
    <w:qFormat/>
    <w:rPr>
      <w:rFonts w:ascii="TimesDL" w:hAnsi="TimesDL" w:eastAsia="Times New Roman" w:cs="TimesDL"/>
      <w:sz w:val="24"/>
    </w:rPr>
  </w:style>
  <w:style w:type="character" w:styleId="Bodytext" w:customStyle="1">
    <w:name w:val="Body text_"/>
    <w:qFormat/>
    <w:rPr>
      <w:sz w:val="26"/>
      <w:szCs w:val="26"/>
      <w:shd w:fill="FFFFFF" w:val="clear"/>
    </w:rPr>
  </w:style>
  <w:style w:type="character" w:styleId="Bodytext11ptSpacing0pt" w:customStyle="1">
    <w:name w:val="Body text + 11 pt;Spacing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position w:val="0"/>
      <w:sz w:val="22"/>
      <w:sz w:val="22"/>
      <w:szCs w:val="22"/>
      <w:u w:val="none"/>
      <w:shd w:fill="FFFFFF" w:val="clear"/>
      <w:vertAlign w:val="baseline"/>
      <w:lang w:val="ru-RU"/>
    </w:rPr>
  </w:style>
  <w:style w:type="character" w:styleId="9" w:customStyle="1">
    <w:name w:val="Основной текст (9)_"/>
    <w:qFormat/>
    <w:rPr>
      <w:b/>
      <w:bCs/>
      <w:spacing w:val="10"/>
      <w:shd w:fill="FFFFFF" w:val="clear"/>
    </w:rPr>
  </w:style>
  <w:style w:type="character" w:styleId="FontStyle12" w:customStyle="1">
    <w:name w:val="Font Style12"/>
    <w:qFormat/>
    <w:rPr>
      <w:rFonts w:ascii="Times New Roman" w:hAnsi="Times New Roman" w:cs="Times New Roman"/>
      <w:sz w:val="26"/>
      <w:szCs w:val="26"/>
    </w:rPr>
  </w:style>
  <w:style w:type="character" w:styleId="FontStyle11" w:customStyle="1">
    <w:name w:val="Font Style11"/>
    <w:qFormat/>
    <w:rPr>
      <w:rFonts w:ascii="Times New Roman" w:hAnsi="Times New Roman" w:cs="Times New Roman"/>
      <w:b/>
      <w:bCs/>
      <w:sz w:val="26"/>
      <w:szCs w:val="26"/>
    </w:rPr>
  </w:style>
  <w:style w:type="character" w:styleId="Calibri0pt" w:customStyle="1">
    <w:name w:val="Основной текст + Calibri;Интервал 0 pt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9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Style14" w:customStyle="1">
    <w:name w:val="Основной текст_"/>
    <w:qFormat/>
    <w:rPr>
      <w:rFonts w:eastAsia="Times New Roman"/>
      <w:spacing w:val="10"/>
      <w:shd w:fill="FFFFFF" w:val="clear"/>
    </w:rPr>
  </w:style>
  <w:style w:type="character" w:styleId="2" w:customStyle="1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5"/>
      <w:w w:val="100"/>
      <w:position w:val="0"/>
      <w:sz w:val="24"/>
      <w:sz w:val="24"/>
      <w:szCs w:val="24"/>
      <w:u w:val="none"/>
      <w:shd w:fill="FFFFFF" w:val="clear"/>
      <w:vertAlign w:val="baseline"/>
      <w:lang w:val="ru-RU" w:bidi="ru-RU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9"/>
      <w:w w:val="100"/>
      <w:position w:val="0"/>
      <w:sz w:val="24"/>
      <w:sz w:val="24"/>
      <w:szCs w:val="24"/>
      <w:u w:val="none"/>
      <w:shd w:fill="FFFFFF" w:val="clear"/>
      <w:vertAlign w:val="baseline"/>
      <w:lang w:val="ru-RU" w:bidi="ru-RU"/>
    </w:rPr>
  </w:style>
  <w:style w:type="character" w:styleId="8pt0pt" w:customStyle="1">
    <w:name w:val="Основной текст + 8 pt;Полужирный;Интервал 0 p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8"/>
      <w:w w:val="100"/>
      <w:position w:val="0"/>
      <w:sz w:val="16"/>
      <w:sz w:val="16"/>
      <w:szCs w:val="16"/>
      <w:u w:val="none"/>
      <w:shd w:fill="FFFFFF" w:val="clear"/>
      <w:vertAlign w:val="baseline"/>
      <w:lang w:val="ru-RU" w:bidi="ru-RU"/>
    </w:rPr>
  </w:style>
  <w:style w:type="character" w:styleId="Style15" w:customStyle="1">
    <w:name w:val="Основной текст +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5"/>
      <w:w w:val="100"/>
      <w:position w:val="0"/>
      <w:sz w:val="24"/>
      <w:sz w:val="24"/>
      <w:szCs w:val="24"/>
      <w:u w:val="none"/>
      <w:shd w:fill="FFFFFF" w:val="clear"/>
      <w:vertAlign w:val="baseline"/>
      <w:lang w:val="ru-RU" w:bidi="ru-RU"/>
    </w:rPr>
  </w:style>
  <w:style w:type="character" w:styleId="31" w:customStyle="1">
    <w:name w:val="Основной текст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5"/>
      <w:w w:val="100"/>
      <w:position w:val="0"/>
      <w:sz w:val="24"/>
      <w:sz w:val="24"/>
      <w:szCs w:val="24"/>
      <w:u w:val="none"/>
      <w:shd w:fill="FFFFFF" w:val="clear"/>
      <w:vertAlign w:val="baseline"/>
      <w:lang w:val="ru-RU" w:bidi="ru-RU"/>
    </w:rPr>
  </w:style>
  <w:style w:type="character" w:styleId="51" w:customStyle="1">
    <w:name w:val="Основной текст5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5"/>
      <w:w w:val="100"/>
      <w:position w:val="0"/>
      <w:sz w:val="24"/>
      <w:sz w:val="24"/>
      <w:szCs w:val="24"/>
      <w:u w:val="none"/>
      <w:shd w:fill="FFFFFF" w:val="clear"/>
      <w:vertAlign w:val="baseline"/>
      <w:lang w:val="ru-RU" w:bidi="ru-RU"/>
    </w:rPr>
  </w:style>
  <w:style w:type="character" w:styleId="17pt0pt" w:customStyle="1">
    <w:name w:val="Основной текст + 17 pt;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position w:val="0"/>
      <w:sz w:val="34"/>
      <w:sz w:val="34"/>
      <w:szCs w:val="34"/>
      <w:u w:val="none"/>
      <w:shd w:fill="FFFFFF" w:val="clear"/>
      <w:vertAlign w:val="baseline"/>
      <w:lang w:val="ru-RU" w:bidi="ru-RU"/>
    </w:rPr>
  </w:style>
  <w:style w:type="character" w:styleId="41" w:customStyle="1">
    <w:name w:val="Основной текст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5"/>
      <w:w w:val="100"/>
      <w:position w:val="0"/>
      <w:sz w:val="24"/>
      <w:sz w:val="24"/>
      <w:szCs w:val="24"/>
      <w:u w:val="none"/>
      <w:shd w:fill="FFFFFF" w:val="clear"/>
      <w:vertAlign w:val="baseline"/>
      <w:lang w:val="ru-RU" w:bidi="ru-RU"/>
    </w:rPr>
  </w:style>
  <w:style w:type="character" w:styleId="4pt0pt300" w:customStyle="1">
    <w:name w:val="Основной текст + 4 pt;Интервал 0 pt;Масштаб 300%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300"/>
      <w:position w:val="0"/>
      <w:sz w:val="8"/>
      <w:sz w:val="8"/>
      <w:szCs w:val="8"/>
      <w:u w:val="none"/>
      <w:shd w:fill="FFFFFF" w:val="clear"/>
      <w:vertAlign w:val="baseline"/>
      <w:lang w:val="ru-RU" w:bidi="ru-RU"/>
    </w:rPr>
  </w:style>
  <w:style w:type="character" w:styleId="CenturyGothic4pt0pt" w:customStyle="1">
    <w:name w:val="Основной текст + Century Gothic;4 pt;Курсив;Интервал 0 pt"/>
    <w:qFormat/>
    <w:rPr>
      <w:rFonts w:ascii="Century Gothic" w:hAnsi="Century Gothic" w:eastAsia="Century Gothic" w:cs="Century Gothic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shd w:fill="FFFFFF" w:val="clear"/>
      <w:vertAlign w:val="baseline"/>
      <w:lang w:val="ru-RU" w:bidi="ru-RU"/>
    </w:rPr>
  </w:style>
  <w:style w:type="character" w:styleId="18pt0pt" w:customStyle="1">
    <w:name w:val="Основной текст + 18 pt;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position w:val="0"/>
      <w:sz w:val="36"/>
      <w:sz w:val="36"/>
      <w:szCs w:val="36"/>
      <w:u w:val="none"/>
      <w:shd w:fill="FFFFFF" w:val="clear"/>
      <w:vertAlign w:val="baseline"/>
      <w:lang w:val="ru-RU" w:bidi="ru-RU"/>
    </w:rPr>
  </w:style>
  <w:style w:type="character" w:styleId="75pt1pt" w:customStyle="1">
    <w:name w:val="Основной текст + 7;5 pt;Малые прописные;Интервал 1 pt"/>
    <w:qFormat/>
    <w:rPr>
      <w:rFonts w:ascii="Times New Roman" w:hAnsi="Times New Roman" w:eastAsia="Times New Roman" w:cs="Times New Roman"/>
      <w:b w:val="false"/>
      <w:bCs w:val="false"/>
      <w:i w:val="false"/>
      <w:iCs w:val="false"/>
      <w:smallCaps/>
      <w:strike w:val="false"/>
      <w:dstrike w:val="false"/>
      <w:color w:val="000000"/>
      <w:spacing w:val="20"/>
      <w:w w:val="100"/>
      <w:position w:val="0"/>
      <w:sz w:val="15"/>
      <w:sz w:val="15"/>
      <w:szCs w:val="15"/>
      <w:u w:val="none"/>
      <w:shd w:fill="FFFFFF" w:val="clear"/>
      <w:vertAlign w:val="baseline"/>
      <w:lang w:val="ru-RU" w:bidi="ru-RU"/>
    </w:rPr>
  </w:style>
  <w:style w:type="character" w:styleId="75pt1pt1" w:customStyle="1">
    <w:name w:val="Основной текст + 7;5 pt;Интервал 1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0"/>
      <w:w w:val="100"/>
      <w:position w:val="0"/>
      <w:sz w:val="15"/>
      <w:sz w:val="15"/>
      <w:szCs w:val="15"/>
      <w:u w:val="none"/>
      <w:shd w:fill="FFFFFF" w:val="clear"/>
      <w:vertAlign w:val="baseline"/>
      <w:lang w:val="ru-RU" w:bidi="ru-RU"/>
    </w:rPr>
  </w:style>
  <w:style w:type="character" w:styleId="18pt-1pt" w:customStyle="1">
    <w:name w:val="Основной текст + 18 pt;Интервал -1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38"/>
      <w:w w:val="100"/>
      <w:position w:val="0"/>
      <w:sz w:val="36"/>
      <w:sz w:val="36"/>
      <w:szCs w:val="36"/>
      <w:u w:val="none"/>
      <w:shd w:fill="FFFFFF" w:val="clear"/>
      <w:vertAlign w:val="baseline"/>
      <w:lang w:val="ru-RU" w:bidi="ru-RU"/>
    </w:rPr>
  </w:style>
  <w:style w:type="character" w:styleId="Tahoma0pt" w:customStyle="1">
    <w:name w:val="Основной текст + Tahoma;Полужирный;Интервал 0 pt"/>
    <w:qFormat/>
    <w:rPr>
      <w:rFonts w:ascii="Tahoma" w:hAnsi="Tahoma" w:eastAsia="Tahoma" w:cs="Tahoma"/>
      <w:b/>
      <w:bCs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position w:val="0"/>
      <w:sz w:val="24"/>
      <w:sz w:val="24"/>
      <w:szCs w:val="24"/>
      <w:u w:val="none"/>
      <w:shd w:fill="FFFFFF" w:val="clear"/>
      <w:vertAlign w:val="baseline"/>
      <w:lang w:val="ru-RU" w:bidi="ru-RU"/>
    </w:rPr>
  </w:style>
  <w:style w:type="character" w:styleId="21" w:customStyle="1">
    <w:name w:val="Основной текст с отступом 2 Знак"/>
    <w:qFormat/>
    <w:rPr>
      <w:rFonts w:eastAsia="Times New Roman"/>
    </w:rPr>
  </w:style>
  <w:style w:type="character" w:styleId="12" w:customStyle="1">
    <w:name w:val="Основной текст Знак1"/>
    <w:qFormat/>
    <w:rPr>
      <w:rFonts w:ascii="TimesDL" w:hAnsi="TimesDL" w:cs="TimesDL"/>
      <w:sz w:val="24"/>
    </w:rPr>
  </w:style>
  <w:style w:type="character" w:styleId="Style16" w:customStyle="1">
    <w:name w:val="Текст Знак"/>
    <w:qFormat/>
    <w:rPr>
      <w:rFonts w:ascii="Calibri" w:hAnsi="Calibri" w:cs="Calibri"/>
      <w:sz w:val="22"/>
      <w:szCs w:val="22"/>
    </w:rPr>
  </w:style>
  <w:style w:type="character" w:styleId="29pt" w:customStyle="1">
    <w:name w:val="Основной текст (2) + 9 pt;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18"/>
      <w:sz w:val="18"/>
      <w:szCs w:val="18"/>
      <w:u w:val="none"/>
      <w:vertAlign w:val="baseline"/>
      <w:lang w:val="ru-RU" w:bidi="ru-RU"/>
    </w:rPr>
  </w:style>
  <w:style w:type="character" w:styleId="22" w:customStyle="1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vertAlign w:val="baseline"/>
      <w:lang w:val="ru-RU" w:bidi="ru-RU"/>
    </w:rPr>
  </w:style>
  <w:style w:type="character" w:styleId="3Exact" w:customStyle="1">
    <w:name w:val="Основной текст (3) Exact"/>
    <w:qFormat/>
    <w:rPr>
      <w:rFonts w:eastAsia="Times New Roman"/>
      <w:sz w:val="94"/>
      <w:szCs w:val="94"/>
      <w:shd w:fill="FFFFFF" w:val="clear"/>
    </w:rPr>
  </w:style>
  <w:style w:type="character" w:styleId="4Exact" w:customStyle="1">
    <w:name w:val="Основной текст (4) Exact"/>
    <w:qFormat/>
    <w:rPr>
      <w:rFonts w:eastAsia="Times New Roman"/>
      <w:b/>
      <w:bCs/>
      <w:shd w:fill="FFFFFF" w:val="clear"/>
    </w:rPr>
  </w:style>
  <w:style w:type="character" w:styleId="310ptExact" w:customStyle="1">
    <w:name w:val="Основной текст (3) + 10 pt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0"/>
      <w:sz w:val="20"/>
      <w:szCs w:val="20"/>
      <w:u w:val="none"/>
      <w:shd w:fill="FFFFFF" w:val="clear"/>
      <w:vertAlign w:val="baseline"/>
      <w:lang w:val="ru-RU" w:bidi="ru-RU"/>
    </w:rPr>
  </w:style>
  <w:style w:type="character" w:styleId="23" w:customStyle="1">
    <w:name w:val="Основной текст 2 Знак"/>
    <w:basedOn w:val="1"/>
    <w:qFormat/>
    <w:rPr>
      <w:rFonts w:eastAsia="Times New Roman"/>
      <w:sz w:val="24"/>
      <w:szCs w:val="24"/>
    </w:rPr>
  </w:style>
  <w:style w:type="character" w:styleId="13" w:customStyle="1">
    <w:name w:val="Гиперссылка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4" w:customStyle="1">
    <w:name w:val="Текст выноски Знак1"/>
    <w:basedOn w:val="DefaultParagraphFont"/>
    <w:link w:val="BalloonText"/>
    <w:uiPriority w:val="99"/>
    <w:semiHidden/>
    <w:qFormat/>
    <w:rsid w:val="006830f7"/>
    <w:rPr>
      <w:rFonts w:ascii="Tahoma" w:hAnsi="Tahoma" w:cs="Tahoma"/>
      <w:sz w:val="16"/>
      <w:szCs w:val="16"/>
      <w:lang w:eastAsia="zh-CN"/>
    </w:rPr>
  </w:style>
  <w:style w:type="paragraph" w:styleId="Style17" w:customStyle="1">
    <w:name w:val="Заголовок"/>
    <w:basedOn w:val="Normal"/>
    <w:next w:val="BodyText1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1">
    <w:name w:val="Body Text"/>
    <w:basedOn w:val="Normal"/>
    <w:pPr>
      <w:spacing w:lineRule="auto" w:line="360" w:before="120" w:after="120"/>
      <w:ind w:firstLine="680"/>
      <w:jc w:val="both"/>
    </w:pPr>
    <w:rPr>
      <w:rFonts w:ascii="TimesDL" w:hAnsi="TimesDL" w:cs="TimesDL"/>
      <w:szCs w:val="20"/>
      <w:lang w:val="x-none"/>
    </w:rPr>
  </w:style>
  <w:style w:type="paragraph" w:styleId="List">
    <w:name w:val="List"/>
    <w:basedOn w:val="BodyText1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15" w:customStyle="1">
    <w:name w:val="Заголовок1"/>
    <w:basedOn w:val="Normal"/>
    <w:next w:val="BodyText1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6" w:customStyle="1">
    <w:name w:val="Указатель1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4"/>
      <w:lang w:eastAsia="zh-CN" w:val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zh-CN" w:val="ru-RU" w:bidi="ar-SA"/>
    </w:rPr>
  </w:style>
  <w:style w:type="paragraph" w:styleId="Style19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x-none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x-none"/>
    </w:rPr>
  </w:style>
  <w:style w:type="paragraph" w:styleId="BodyTextIndent">
    <w:name w:val="Body Text Indent"/>
    <w:basedOn w:val="Normal"/>
    <w:pPr>
      <w:spacing w:before="0" w:after="120"/>
      <w:ind w:left="283"/>
    </w:pPr>
    <w:rPr>
      <w:sz w:val="20"/>
      <w:szCs w:val="20"/>
      <w:lang w:val="en-GB"/>
    </w:rPr>
  </w:style>
  <w:style w:type="paragraph" w:styleId="211" w:customStyle="1">
    <w:name w:val="Основной текст 21"/>
    <w:basedOn w:val="Normal"/>
    <w:qFormat/>
    <w:pPr>
      <w:spacing w:before="120" w:after="0"/>
      <w:ind w:firstLine="567"/>
      <w:jc w:val="both"/>
    </w:pPr>
    <w:rPr>
      <w:rFonts w:ascii="TimesDL" w:hAnsi="TimesDL" w:cs="TimesDL"/>
      <w:szCs w:val="20"/>
    </w:rPr>
  </w:style>
  <w:style w:type="paragraph" w:styleId="17" w:customStyle="1">
    <w:name w:val="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0" w:customStyle="1">
    <w:name w:val="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Normal1" w:customStyle="1">
    <w:name w:val="Normal1"/>
    <w:qFormat/>
    <w:pPr>
      <w:widowControl w:val="false"/>
      <w:suppressAutoHyphens w:val="true"/>
      <w:bidi w:val="0"/>
      <w:spacing w:lineRule="auto" w:line="360" w:before="120" w:after="0"/>
      <w:ind w:firstLine="680"/>
      <w:jc w:val="both"/>
    </w:pPr>
    <w:rPr>
      <w:rFonts w:ascii="TimesDL" w:hAnsi="TimesDL" w:cs="TimesDL" w:eastAsia="Times New Roman"/>
      <w:color w:val="auto"/>
      <w:kern w:val="0"/>
      <w:sz w:val="24"/>
      <w:szCs w:val="20"/>
      <w:lang w:eastAsia="zh-CN" w:val="ru-RU" w:bidi="ar-SA"/>
    </w:rPr>
  </w:style>
  <w:style w:type="paragraph" w:styleId="18" w:customStyle="1">
    <w:name w:val="Текст выноски1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>
      <w:spacing w:val="80"/>
      <w:sz w:val="26"/>
      <w:szCs w:val="26"/>
    </w:rPr>
  </w:style>
  <w:style w:type="paragraph" w:styleId="Style21" w:customStyle="1">
    <w:name w:val="Знак Знак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Bodytext11" w:customStyle="1">
    <w:name w:val="Body text1"/>
    <w:basedOn w:val="Normal"/>
    <w:qFormat/>
    <w:pPr>
      <w:widowControl w:val="false"/>
      <w:shd w:val="clear" w:color="auto" w:fill="FFFFFF"/>
      <w:spacing w:lineRule="exact" w:line="418" w:before="0" w:after="360"/>
      <w:jc w:val="both"/>
    </w:pPr>
    <w:rPr>
      <w:rFonts w:eastAsia="Calibri"/>
      <w:sz w:val="26"/>
      <w:szCs w:val="26"/>
      <w:lang w:val="x-none"/>
    </w:rPr>
  </w:style>
  <w:style w:type="paragraph" w:styleId="19" w:customStyle="1">
    <w:name w:val="Абзац списка1"/>
    <w:basedOn w:val="Normal"/>
    <w:qFormat/>
    <w:pPr>
      <w:spacing w:lineRule="auto" w:line="276" w:before="0" w:after="200"/>
      <w:ind w:left="720"/>
      <w:contextualSpacing/>
    </w:pPr>
    <w:rPr>
      <w:rFonts w:ascii="Calibri" w:hAnsi="Calibri" w:cs="Calibri"/>
      <w:sz w:val="22"/>
      <w:szCs w:val="22"/>
    </w:rPr>
  </w:style>
  <w:style w:type="paragraph" w:styleId="91" w:customStyle="1">
    <w:name w:val="Основной текст (9)"/>
    <w:basedOn w:val="Normal"/>
    <w:qFormat/>
    <w:pPr>
      <w:widowControl w:val="false"/>
      <w:shd w:val="clear" w:color="auto" w:fill="FFFFFF"/>
      <w:spacing w:lineRule="exact" w:line="278" w:before="540" w:after="240"/>
      <w:jc w:val="center"/>
    </w:pPr>
    <w:rPr>
      <w:rFonts w:eastAsia="Calibri"/>
      <w:b/>
      <w:bCs/>
      <w:spacing w:val="10"/>
      <w:sz w:val="20"/>
      <w:szCs w:val="20"/>
      <w:lang w:val="x-none"/>
    </w:rPr>
  </w:style>
  <w:style w:type="paragraph" w:styleId="110" w:customStyle="1">
    <w:name w:val="Знак1"/>
    <w:basedOn w:val="Normal"/>
    <w:qFormat/>
    <w:pPr>
      <w:tabs>
        <w:tab w:val="clear" w:pos="708"/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 w:cs="Arial"/>
      <w:sz w:val="20"/>
      <w:szCs w:val="20"/>
      <w:lang w:val="en-US"/>
    </w:rPr>
  </w:style>
  <w:style w:type="paragraph" w:styleId="111" w:customStyle="1">
    <w:name w:val="Основной текст1"/>
    <w:basedOn w:val="Normal"/>
    <w:qFormat/>
    <w:pPr>
      <w:widowControl w:val="false"/>
      <w:shd w:val="clear" w:color="auto" w:fill="FFFFFF"/>
      <w:spacing w:lineRule="exact" w:line="326"/>
      <w:jc w:val="both"/>
    </w:pPr>
    <w:rPr>
      <w:spacing w:val="10"/>
      <w:sz w:val="20"/>
      <w:szCs w:val="20"/>
      <w:lang w:val="x-none"/>
    </w:rPr>
  </w:style>
  <w:style w:type="paragraph" w:styleId="Style22" w:customStyle="1">
    <w:name w:val="Знак"/>
    <w:basedOn w:val="Normal"/>
    <w:qFormat/>
    <w:pPr>
      <w:tabs>
        <w:tab w:val="clear" w:pos="708"/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 w:cs="Arial"/>
      <w:sz w:val="20"/>
      <w:szCs w:val="20"/>
      <w:lang w:val="en-US"/>
    </w:rPr>
  </w:style>
  <w:style w:type="paragraph" w:styleId="92" w:customStyle="1">
    <w:name w:val="Основной текст9"/>
    <w:basedOn w:val="Normal"/>
    <w:qFormat/>
    <w:pPr>
      <w:widowControl w:val="false"/>
      <w:shd w:val="clear" w:color="auto" w:fill="FFFFFF"/>
      <w:spacing w:lineRule="exact" w:line="322" w:before="0" w:after="300"/>
    </w:pPr>
    <w:rPr>
      <w:color w:val="000000"/>
      <w:spacing w:val="5"/>
      <w:lang w:bidi="ru-RU"/>
    </w:rPr>
  </w:style>
  <w:style w:type="paragraph" w:styleId="212" w:customStyle="1">
    <w:name w:val="Основной текст с отступом 21"/>
    <w:basedOn w:val="Normal"/>
    <w:qFormat/>
    <w:pPr>
      <w:spacing w:lineRule="auto" w:line="480" w:before="0" w:after="120"/>
      <w:ind w:left="283"/>
    </w:pPr>
    <w:rPr>
      <w:sz w:val="20"/>
      <w:szCs w:val="20"/>
      <w:lang w:val="x-none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eastAsia="zh-CN" w:val="ru-RU" w:bidi="ar-SA"/>
    </w:rPr>
  </w:style>
  <w:style w:type="paragraph" w:styleId="Style23" w:customStyle="1">
    <w:name w:val="Обычный БП"/>
    <w:qFormat/>
    <w:pPr>
      <w:widowControl/>
      <w:suppressAutoHyphens w:val="true"/>
      <w:bidi w:val="0"/>
      <w:spacing w:before="0" w:after="0"/>
      <w:ind w:firstLine="317"/>
      <w:jc w:val="both"/>
    </w:pPr>
    <w:rPr>
      <w:rFonts w:ascii="Times New Roman" w:hAnsi="Times New Roman" w:eastAsia="Times New Roman" w:cs="Times New Roman"/>
      <w:color w:val="00000A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eastAsia="SimSun" w:ascii="Times New Roman" w:hAnsi="Times New Roman" w:cs="Times New Roman"/>
      <w:color w:val="000000"/>
      <w:kern w:val="2"/>
      <w:sz w:val="24"/>
      <w:szCs w:val="24"/>
      <w:lang w:eastAsia="zh-CN" w:val="ru-RU" w:bidi="ar-SA"/>
    </w:rPr>
  </w:style>
  <w:style w:type="paragraph" w:styleId="112" w:customStyle="1">
    <w:name w:val="Текст1"/>
    <w:basedOn w:val="Normal"/>
    <w:qFormat/>
    <w:pPr/>
    <w:rPr>
      <w:rFonts w:ascii="Calibri" w:hAnsi="Calibri" w:eastAsia="Calibri" w:cs="Calibri"/>
      <w:sz w:val="22"/>
      <w:szCs w:val="22"/>
      <w:lang w:val="x-none"/>
    </w:rPr>
  </w:style>
  <w:style w:type="paragraph" w:styleId="BodySingle" w:customStyle="1">
    <w:name w:val="Body Sing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eastAsia="zh-CN" w:val="ru-RU" w:bidi="ar-SA"/>
    </w:rPr>
  </w:style>
  <w:style w:type="paragraph" w:styleId="32" w:customStyle="1">
    <w:name w:val="Основной текст (3)"/>
    <w:basedOn w:val="Normal"/>
    <w:qFormat/>
    <w:pPr>
      <w:widowControl w:val="false"/>
      <w:shd w:val="clear" w:color="auto" w:fill="FFFFFF"/>
      <w:spacing w:lineRule="atLeast" w:line="0"/>
    </w:pPr>
    <w:rPr>
      <w:sz w:val="94"/>
      <w:szCs w:val="94"/>
      <w:lang w:val="x-none"/>
    </w:rPr>
  </w:style>
  <w:style w:type="paragraph" w:styleId="42" w:customStyle="1">
    <w:name w:val="Основной текст (4)"/>
    <w:basedOn w:val="Normal"/>
    <w:qFormat/>
    <w:pPr>
      <w:widowControl w:val="false"/>
      <w:shd w:val="clear" w:color="auto" w:fill="FFFFFF"/>
      <w:spacing w:lineRule="exact" w:line="235"/>
      <w:jc w:val="both"/>
    </w:pPr>
    <w:rPr>
      <w:b/>
      <w:bCs/>
      <w:sz w:val="20"/>
      <w:szCs w:val="20"/>
      <w:lang w:val="x-none"/>
    </w:rPr>
  </w:style>
  <w:style w:type="paragraph" w:styleId="113" w:customStyle="1">
    <w:name w:val="Обычный1"/>
    <w:qFormat/>
    <w:pPr>
      <w:widowControl/>
      <w:tabs>
        <w:tab w:val="clear" w:pos="708"/>
        <w:tab w:val="left" w:pos="360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uppressAutoHyphens w:val="true"/>
      <w:bidi w:val="0"/>
      <w:spacing w:before="0" w:after="0"/>
      <w:jc w:val="center"/>
    </w:pPr>
    <w:rPr>
      <w:rFonts w:eastAsia="Calibri" w:ascii="Times New Roman" w:hAnsi="Times New Roman" w:cs="Times New Roman"/>
      <w:b/>
      <w:color w:val="auto"/>
      <w:kern w:val="0"/>
      <w:sz w:val="28"/>
      <w:szCs w:val="28"/>
      <w:lang w:eastAsia="zh-CN" w:val="ru-RU" w:bidi="ar-SA"/>
    </w:rPr>
  </w:style>
  <w:style w:type="paragraph" w:styleId="221" w:customStyle="1">
    <w:name w:val="Основной текст 22"/>
    <w:basedOn w:val="Normal"/>
    <w:qFormat/>
    <w:pPr>
      <w:spacing w:lineRule="auto" w:line="480" w:before="0" w:after="120"/>
    </w:pPr>
    <w:rPr/>
  </w:style>
  <w:style w:type="paragraph" w:styleId="231" w:customStyle="1">
    <w:name w:val="Основной текст 23"/>
    <w:basedOn w:val="Normal"/>
    <w:qFormat/>
    <w:pPr>
      <w:ind w:firstLine="540"/>
    </w:pPr>
    <w:rPr>
      <w:szCs w:val="20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114" w:customStyle="1">
    <w:name w:val="Обычный (веб)1"/>
    <w:basedOn w:val="Normal"/>
    <w:qFormat/>
    <w:pPr>
      <w:spacing w:before="100" w:after="100"/>
    </w:pPr>
    <w:rPr>
      <w:lang w:eastAsia="ru-RU"/>
    </w:rPr>
  </w:style>
  <w:style w:type="paragraph" w:styleId="24" w:customStyle="1">
    <w:name w:val="Указатель2"/>
    <w:basedOn w:val="Normal"/>
    <w:qFormat/>
    <w:pPr>
      <w:spacing w:lineRule="auto" w:line="276" w:before="0" w:after="200"/>
    </w:pPr>
    <w:rPr>
      <w:rFonts w:ascii="PT Astra Serif" w:hAnsi="PT Astra Serif" w:cs="Noto Sans Devanagari"/>
    </w:rPr>
  </w:style>
  <w:style w:type="paragraph" w:styleId="Caption12" w:customStyle="1">
    <w:name w:val="caption12"/>
    <w:basedOn w:val="Normal"/>
    <w:qFormat/>
    <w:pPr>
      <w:spacing w:lineRule="auto" w:line="276" w:before="120" w:after="120"/>
    </w:pPr>
    <w:rPr>
      <w:rFonts w:ascii="PT Astra Serif" w:hAnsi="PT Astra Serif" w:cs="Noto Sans Devanagari"/>
      <w:i/>
      <w:iCs/>
    </w:rPr>
  </w:style>
  <w:style w:type="paragraph" w:styleId="Style26" w:customStyle="1">
    <w:name w:val="Содержимое врезки"/>
    <w:basedOn w:val="Normal"/>
    <w:qFormat/>
    <w:pPr/>
    <w:rPr/>
  </w:style>
  <w:style w:type="paragraph" w:styleId="BalloonText">
    <w:name w:val="Balloon Text"/>
    <w:basedOn w:val="Normal"/>
    <w:link w:val="14"/>
    <w:uiPriority w:val="99"/>
    <w:semiHidden/>
    <w:unhideWhenUsed/>
    <w:qFormat/>
    <w:rsid w:val="006830f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LibreOffice/7.6.7.2$Linux_X86_64 LibreOffice_project/60$Build-2</Application>
  <AppVersion>15.0000</AppVersion>
  <Pages>9</Pages>
  <Words>2059</Words>
  <Characters>15920</Characters>
  <CharactersWithSpaces>18251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2025-06-19T01:52:00Z</dcterms:created>
  <dc:creator>Бородина Галина И.</dc:creator>
  <dc:description/>
  <dc:language>ru-RU</dc:language>
  <cp:lastModifiedBy>Архив </cp:lastModifiedBy>
  <cp:lastPrinted>2025-07-17T12:35:00Z</cp:lastPrinted>
  <dcterms:modified xsi:type="dcterms:W3CDTF">2025-07-18T04:15:00Z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