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ИЗВЕЩЕНИЕ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</w:rPr>
        <w:t xml:space="preserve">о проведении аукциона в электронной форме на право заключения договора аренды земельного участка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b/>
        </w:rPr>
        <w:t>Организатор торгов</w:t>
      </w:r>
      <w:r>
        <w:rPr/>
        <w:t xml:space="preserve"> - Комитет по управлению муниципальным имуществом Чебулинского муниципального округа объявляет о проведении торгов в форме открытого аукциона в электронной форме на право заключения договора аренды земельного участка, расположенного по адресу: Кемеровская область, Чебулинский </w:t>
      </w:r>
      <w:r>
        <w:rPr/>
        <w:t>район</w:t>
      </w:r>
      <w:r>
        <w:rPr/>
        <w:t>, с. Ус</w:t>
      </w:r>
      <w:r>
        <w:rPr/>
        <w:t>манка</w:t>
      </w:r>
      <w:r>
        <w:rPr/>
        <w:t xml:space="preserve">, ул. </w:t>
      </w:r>
      <w:r>
        <w:rPr/>
        <w:t>40 лет Победы</w:t>
      </w:r>
      <w:r>
        <w:rPr/>
        <w:t xml:space="preserve">, </w:t>
      </w:r>
      <w:r>
        <w:rPr/>
        <w:t>117</w:t>
      </w:r>
      <w:r>
        <w:rPr/>
        <w:t>А.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Извещение о проведении аукциона и документация об аукционе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2">
        <w:r>
          <w:rPr>
            <w:rStyle w:val="Hyperlink"/>
            <w:sz w:val="24"/>
            <w:szCs w:val="24"/>
          </w:rPr>
          <w:t>www.torgi.gov.ru</w:t>
        </w:r>
      </w:hyperlink>
      <w:r>
        <w:rPr>
          <w:sz w:val="24"/>
          <w:szCs w:val="24"/>
        </w:rPr>
        <w:t xml:space="preserve"> (далее официальный сайт торгов) и на официальном сайте </w:t>
      </w:r>
      <w:r>
        <w:rPr>
          <w:sz w:val="24"/>
          <w:szCs w:val="24"/>
        </w:rPr>
        <w:t>организатора торгов,</w:t>
      </w:r>
      <w:r>
        <w:rPr>
          <w:sz w:val="24"/>
          <w:szCs w:val="24"/>
        </w:rPr>
        <w:t xml:space="preserve"> на электронной торговой площадке – РТС-тендер (</w:t>
      </w:r>
      <w:hyperlink r:id="rId3">
        <w:r>
          <w:rPr>
            <w:rStyle w:val="Hyperlink"/>
            <w:sz w:val="24"/>
            <w:szCs w:val="24"/>
          </w:rPr>
          <w:t>www.rts-tender.ru</w:t>
        </w:r>
      </w:hyperlink>
      <w:r>
        <w:rPr>
          <w:sz w:val="24"/>
          <w:szCs w:val="24"/>
        </w:rPr>
        <w:t xml:space="preserve"> ).   Плата за предоставление документации об аукционе не взимается. </w:t>
      </w:r>
    </w:p>
    <w:p>
      <w:pPr>
        <w:pStyle w:val="Normal"/>
        <w:ind w:firstLine="540"/>
        <w:jc w:val="both"/>
        <w:rPr>
          <w:color w:val="FF0000"/>
        </w:rPr>
      </w:pPr>
      <w:r>
        <w:rPr>
          <w:b/>
        </w:rPr>
        <w:t xml:space="preserve">  </w:t>
      </w:r>
      <w:r>
        <w:rPr>
          <w:b/>
        </w:rPr>
        <w:t>Основание проведения торгов</w:t>
      </w:r>
      <w:r>
        <w:rPr/>
        <w:t xml:space="preserve"> –  </w:t>
      </w:r>
      <w:r>
        <w:rPr>
          <w:shd w:fill="auto" w:val="clear"/>
        </w:rPr>
        <w:t xml:space="preserve">Постановление администрации Чебулинского муниципального округа № </w:t>
      </w:r>
      <w:r>
        <w:rPr>
          <w:shd w:fill="auto" w:val="clear"/>
        </w:rPr>
        <w:t>22</w:t>
      </w:r>
      <w:r>
        <w:rPr>
          <w:shd w:fill="auto" w:val="clear"/>
        </w:rPr>
        <w:t xml:space="preserve">-п от </w:t>
      </w:r>
      <w:r>
        <w:rPr>
          <w:shd w:fill="auto" w:val="clear"/>
        </w:rPr>
        <w:t>09</w:t>
      </w:r>
      <w:r>
        <w:rPr>
          <w:shd w:fill="auto" w:val="clear"/>
        </w:rPr>
        <w:t>.0</w:t>
      </w:r>
      <w:r>
        <w:rPr>
          <w:shd w:fill="auto" w:val="clear"/>
        </w:rPr>
        <w:t>2</w:t>
      </w:r>
      <w:r>
        <w:rPr>
          <w:shd w:fill="auto" w:val="clear"/>
        </w:rPr>
        <w:t>.202</w:t>
      </w:r>
      <w:r>
        <w:rPr>
          <w:shd w:fill="auto" w:val="clear"/>
        </w:rPr>
        <w:t>6</w:t>
      </w:r>
      <w:r>
        <w:rPr>
          <w:shd w:fill="auto" w:val="clear"/>
        </w:rPr>
        <w:t xml:space="preserve"> г. «</w:t>
      </w:r>
      <w:r>
        <w:rPr>
          <w:b w:val="false"/>
          <w:bCs w:val="false"/>
          <w:sz w:val="24"/>
          <w:szCs w:val="24"/>
          <w:shd w:fill="auto" w:val="clear"/>
        </w:rPr>
        <w:t>О проведении электронного аукциона на право заключения договора аренды земельного участка, расположенного по адресу: Кемеровская область, Чебулинский район, с. Усманка, ул. 40 лет Победы, 117А</w:t>
      </w:r>
      <w:r>
        <w:rPr>
          <w:shd w:fill="auto" w:val="clear"/>
        </w:rPr>
        <w:t>».</w:t>
      </w:r>
    </w:p>
    <w:p>
      <w:pPr>
        <w:pStyle w:val="BodyTextIndent"/>
        <w:ind w:firstLine="540"/>
        <w:rPr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>Форма торгов</w:t>
      </w:r>
      <w:r>
        <w:rPr>
          <w:szCs w:val="24"/>
        </w:rPr>
        <w:t xml:space="preserve"> – электронный аукцион, открытый по составу участников и открытый по форме подачи предложений по цене.</w:t>
      </w:r>
    </w:p>
    <w:p>
      <w:pPr>
        <w:pStyle w:val="BodyTextIndent"/>
        <w:ind w:firstLine="360"/>
        <w:rPr/>
      </w:pPr>
      <w:r>
        <w:rPr/>
        <w:t xml:space="preserve">    </w:t>
      </w:r>
      <w:r>
        <w:rPr/>
        <w:t xml:space="preserve">Аукцион проводится в соответствии с требованиями Земельного кодекса Российской Федерации. </w:t>
      </w:r>
    </w:p>
    <w:p>
      <w:pPr>
        <w:pStyle w:val="Normal"/>
        <w:ind w:firstLine="360"/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>Предмет аукциона:</w:t>
      </w:r>
    </w:p>
    <w:p>
      <w:pPr>
        <w:pStyle w:val="Normal"/>
        <w:ind w:firstLine="360"/>
        <w:jc w:val="both"/>
        <w:rPr/>
      </w:pPr>
      <w:r>
        <w:rPr/>
        <w:t xml:space="preserve">    </w:t>
      </w:r>
      <w:r>
        <w:rPr/>
        <w:t xml:space="preserve">Земельный участок площадью </w:t>
      </w:r>
      <w:r>
        <w:rPr/>
        <w:t>203</w:t>
      </w:r>
      <w:r>
        <w:rPr/>
        <w:t xml:space="preserve"> кв.м., кадастровый номер: 42:16:0</w:t>
      </w:r>
      <w:r>
        <w:rPr/>
        <w:t>109004</w:t>
      </w:r>
      <w:r>
        <w:rPr/>
        <w:t>:</w:t>
      </w:r>
      <w:r>
        <w:rPr/>
        <w:t>655</w:t>
      </w:r>
      <w:r>
        <w:rPr/>
        <w:t xml:space="preserve">, категория: земли населенных пунктов, вид разрешенного использования: </w:t>
      </w:r>
      <w:r>
        <w:rPr/>
        <w:t>станция технического обслуживания</w:t>
      </w:r>
      <w:r>
        <w:rPr/>
        <w:t xml:space="preserve">, расположенный по адресу: Кемеровская область, Чебулинский </w:t>
      </w:r>
      <w:r>
        <w:rPr/>
        <w:t>район</w:t>
      </w:r>
      <w:r>
        <w:rPr/>
        <w:t>, с. Ус</w:t>
      </w:r>
      <w:r>
        <w:rPr/>
        <w:t>манка</w:t>
      </w:r>
      <w:r>
        <w:rPr/>
        <w:t xml:space="preserve">, ул. </w:t>
      </w:r>
      <w:r>
        <w:rPr/>
        <w:t>40 лет Победы</w:t>
      </w:r>
      <w:r>
        <w:rPr/>
        <w:t xml:space="preserve">, </w:t>
      </w:r>
      <w:r>
        <w:rPr/>
        <w:t>117</w:t>
      </w:r>
      <w:r>
        <w:rPr/>
        <w:t>А.</w:t>
      </w:r>
    </w:p>
    <w:p>
      <w:pPr>
        <w:pStyle w:val="Normal"/>
        <w:ind w:hanging="0"/>
        <w:jc w:val="both"/>
        <w:rPr/>
      </w:pPr>
      <w:r>
        <w:rPr/>
        <w:t xml:space="preserve">Срок заключения договора аренды </w:t>
      </w:r>
      <w:r>
        <w:rPr>
          <w:shd w:fill="auto" w:val="clear"/>
        </w:rPr>
        <w:t>– 5 лет.</w:t>
      </w:r>
    </w:p>
    <w:p>
      <w:pPr>
        <w:pStyle w:val="Normal"/>
        <w:ind w:firstLine="360"/>
        <w:jc w:val="both"/>
        <w:rPr>
          <w:u w:val="single"/>
        </w:rPr>
      </w:pPr>
      <w:r>
        <w:rPr>
          <w:u w:val="none"/>
          <w:shd w:fill="auto" w:val="clear"/>
        </w:rPr>
        <w:t xml:space="preserve">   </w:t>
      </w:r>
      <w:r>
        <w:rPr>
          <w:u w:val="single"/>
          <w:shd w:fill="auto" w:val="clear"/>
        </w:rPr>
        <w:t xml:space="preserve">Техническая возможность подключения к сетям теплоснабжения, водоснабжения и водоотведения </w:t>
      </w:r>
      <w:r>
        <w:rPr>
          <w:u w:val="single"/>
          <w:shd w:fill="auto" w:val="clear"/>
        </w:rPr>
        <w:t xml:space="preserve">не </w:t>
      </w:r>
      <w:r>
        <w:rPr>
          <w:u w:val="single"/>
          <w:shd w:fill="auto" w:val="clear"/>
        </w:rPr>
        <w:t>имеется.</w:t>
      </w:r>
    </w:p>
    <w:p>
      <w:pPr>
        <w:pStyle w:val="Normal"/>
        <w:ind w:firstLine="360"/>
        <w:jc w:val="both"/>
        <w:rPr>
          <w:highlight w:val="none"/>
          <w:u w:val="single"/>
          <w:shd w:fill="auto" w:val="clear"/>
        </w:rPr>
      </w:pPr>
      <w:r>
        <w:rPr>
          <w:u w:val="none"/>
          <w:shd w:fill="auto" w:val="clear"/>
        </w:rPr>
        <w:t xml:space="preserve">    </w:t>
      </w:r>
      <w:r>
        <w:rPr>
          <w:u w:val="single"/>
          <w:shd w:fill="auto" w:val="clear"/>
        </w:rPr>
        <w:t>Техническая возможность подключения к сетям электроснабжения имеется.</w:t>
      </w:r>
    </w:p>
    <w:p>
      <w:pPr>
        <w:pStyle w:val="Normal"/>
        <w:ind w:firstLine="360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   </w:t>
      </w:r>
      <w:r>
        <w:rPr>
          <w:shd w:fill="auto" w:val="clear"/>
        </w:rPr>
        <w:t>Предельные параметры разрешенного строительства установлены в соответствии с действующим законодательством, с Правилами землепользования и застройки Чебулинского муниципального округа,  утвержденными решением Совета народных депутатов Чебулинского муниципального округа от 10.12.2024г. №37.</w:t>
      </w:r>
    </w:p>
    <w:p>
      <w:pPr>
        <w:pStyle w:val="Normal"/>
        <w:ind w:firstLine="540"/>
        <w:jc w:val="both"/>
        <w:rPr>
          <w:i/>
          <w:i/>
          <w:color w:val="0000FF"/>
          <w:highlight w:val="yellow"/>
        </w:rPr>
      </w:pPr>
      <w:r>
        <w:rPr>
          <w:b/>
        </w:rPr>
        <w:t xml:space="preserve">  </w:t>
      </w:r>
      <w:r>
        <w:rPr>
          <w:b/>
        </w:rPr>
        <w:t>Дата начала приема заявок на участие в аукционе</w:t>
      </w:r>
      <w:r>
        <w:rPr/>
        <w:t xml:space="preserve"> – </w:t>
      </w:r>
      <w:r>
        <w:rPr/>
        <w:t>20</w:t>
      </w:r>
      <w:r>
        <w:rPr>
          <w:shd w:fill="auto" w:val="clear"/>
        </w:rPr>
        <w:t>.0</w:t>
      </w:r>
      <w:r>
        <w:rPr>
          <w:shd w:fill="auto" w:val="clear"/>
        </w:rPr>
        <w:t>2</w:t>
      </w:r>
      <w:r>
        <w:rPr>
          <w:shd w:fill="auto" w:val="clear"/>
        </w:rPr>
        <w:t>.202</w:t>
      </w:r>
      <w:r>
        <w:rPr>
          <w:shd w:fill="auto" w:val="clear"/>
        </w:rPr>
        <w:t>6</w:t>
      </w:r>
      <w:r>
        <w:rPr>
          <w:shd w:fill="auto" w:val="clear"/>
        </w:rPr>
        <w:t xml:space="preserve"> г</w:t>
      </w:r>
      <w:r>
        <w:rPr>
          <w:b w:val="false"/>
          <w:bCs w:val="false"/>
          <w:shd w:fill="auto" w:val="clear"/>
        </w:rPr>
        <w:t>.</w:t>
      </w:r>
      <w:r>
        <w:rPr>
          <w:b/>
          <w:shd w:fill="auto" w:val="clear"/>
        </w:rPr>
        <w:t xml:space="preserve"> </w:t>
      </w:r>
      <w:r>
        <w:rPr>
          <w:shd w:fill="auto" w:val="clear"/>
        </w:rPr>
        <w:t>с 10.00 часов по местному времени.</w:t>
      </w:r>
    </w:p>
    <w:p>
      <w:pPr>
        <w:pStyle w:val="Normal"/>
        <w:ind w:firstLine="54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Дата окончания приема заявок на участие в аукционе</w:t>
      </w:r>
      <w:r>
        <w:rPr>
          <w:shd w:fill="auto" w:val="clear"/>
        </w:rPr>
        <w:t xml:space="preserve"> – </w:t>
      </w:r>
      <w:r>
        <w:rPr>
          <w:shd w:fill="auto" w:val="clear"/>
        </w:rPr>
        <w:t>10.03</w:t>
      </w:r>
      <w:r>
        <w:rPr>
          <w:shd w:fill="auto" w:val="clear"/>
        </w:rPr>
        <w:t>.202</w:t>
      </w:r>
      <w:r>
        <w:rPr>
          <w:shd w:fill="auto" w:val="clear"/>
        </w:rPr>
        <w:t>6</w:t>
      </w:r>
      <w:r>
        <w:rPr>
          <w:shd w:fill="auto" w:val="clear"/>
        </w:rPr>
        <w:t xml:space="preserve"> г. до 10.00 часов по местному времени.</w:t>
      </w:r>
    </w:p>
    <w:p>
      <w:pPr>
        <w:pStyle w:val="555"/>
        <w:spacing w:lineRule="auto" w:line="240" w:before="0" w:after="0"/>
        <w:ind w:firstLine="708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iCs/>
          <w:sz w:val="24"/>
          <w:szCs w:val="24"/>
          <w:shd w:fill="auto" w:val="clear"/>
        </w:rPr>
        <w:t xml:space="preserve">Дата определения участников аукциона </w:t>
      </w:r>
      <w:r>
        <w:rPr>
          <w:rFonts w:ascii="Times New Roman" w:hAnsi="Times New Roman"/>
          <w:iCs/>
          <w:sz w:val="24"/>
          <w:szCs w:val="24"/>
          <w:shd w:fill="auto" w:val="clear"/>
        </w:rPr>
        <w:t xml:space="preserve">– </w:t>
      </w:r>
      <w:r>
        <w:rPr>
          <w:rFonts w:ascii="Times New Roman" w:hAnsi="Times New Roman"/>
          <w:iCs/>
          <w:sz w:val="24"/>
          <w:szCs w:val="24"/>
          <w:shd w:fill="auto" w:val="clear"/>
        </w:rPr>
        <w:t>11</w:t>
      </w:r>
      <w:r>
        <w:rPr>
          <w:rFonts w:ascii="Times New Roman" w:hAnsi="Times New Roman"/>
          <w:iCs/>
          <w:sz w:val="24"/>
          <w:szCs w:val="24"/>
          <w:shd w:fill="auto" w:val="clear"/>
        </w:rPr>
        <w:t>.0</w:t>
      </w:r>
      <w:r>
        <w:rPr>
          <w:rFonts w:ascii="Times New Roman" w:hAnsi="Times New Roman"/>
          <w:iCs/>
          <w:sz w:val="24"/>
          <w:szCs w:val="24"/>
          <w:shd w:fill="auto" w:val="clear"/>
        </w:rPr>
        <w:t>3</w:t>
      </w:r>
      <w:r>
        <w:rPr>
          <w:rFonts w:ascii="Times New Roman" w:hAnsi="Times New Roman"/>
          <w:iCs/>
          <w:sz w:val="24"/>
          <w:szCs w:val="24"/>
          <w:shd w:fill="auto" w:val="clear"/>
        </w:rPr>
        <w:t>.202</w:t>
      </w:r>
      <w:r>
        <w:rPr>
          <w:rFonts w:ascii="Times New Roman" w:hAnsi="Times New Roman"/>
          <w:iCs/>
          <w:sz w:val="24"/>
          <w:szCs w:val="24"/>
          <w:shd w:fill="auto" w:val="clear"/>
        </w:rPr>
        <w:t>6</w:t>
      </w:r>
      <w:r>
        <w:rPr>
          <w:rFonts w:ascii="Times New Roman" w:hAnsi="Times New Roman"/>
          <w:iCs/>
          <w:sz w:val="24"/>
          <w:szCs w:val="24"/>
          <w:shd w:fill="auto" w:val="clear"/>
        </w:rPr>
        <w:t>г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.</w:t>
      </w:r>
    </w:p>
    <w:p>
      <w:pPr>
        <w:pStyle w:val="555"/>
        <w:spacing w:lineRule="auto" w:line="240" w:before="0" w:after="0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shd w:fill="auto" w:val="clear"/>
        </w:rPr>
        <w:t xml:space="preserve">Дата, время и место проведения аукциона 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 xml:space="preserve">– 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12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.0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3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.202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>6</w:t>
      </w:r>
      <w:r>
        <w:rPr>
          <w:rFonts w:ascii="Times New Roman" w:hAnsi="Times New Roman"/>
          <w:bCs/>
          <w:iCs/>
          <w:sz w:val="24"/>
          <w:szCs w:val="24"/>
          <w:shd w:fill="auto" w:val="clear"/>
        </w:rPr>
        <w:t xml:space="preserve"> в 10.00 п</w:t>
      </w:r>
      <w:r>
        <w:rPr>
          <w:rFonts w:ascii="Times New Roman" w:hAnsi="Times New Roman"/>
          <w:bCs/>
          <w:iCs/>
          <w:sz w:val="24"/>
          <w:szCs w:val="24"/>
        </w:rPr>
        <w:t>о местному времени на электронной площадке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РТС-тендер (www.rts-tender.ru).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Организатор аукциона вправе принять решение об отказе в проведении аукциона в сроки, предусмотренные гражданским законодательством Российской Федерации.</w:t>
      </w:r>
    </w:p>
    <w:p>
      <w:pPr>
        <w:pStyle w:val="BodyTextIndent"/>
        <w:ind w:firstLine="426"/>
        <w:rPr/>
      </w:pPr>
      <w:r>
        <w:rPr>
          <w:b/>
          <w:bCs/>
        </w:rPr>
        <w:t xml:space="preserve">     </w:t>
      </w:r>
      <w:r>
        <w:rPr>
          <w:b/>
          <w:bCs/>
          <w:szCs w:val="24"/>
        </w:rPr>
        <w:t xml:space="preserve">Начальная цена аукциона - </w:t>
      </w:r>
      <w:r>
        <w:rPr/>
        <w:t>Согласно отчета «</w:t>
      </w:r>
      <w:bookmarkStart w:id="0" w:name="_Hlk133438475"/>
      <w:r>
        <w:rPr/>
        <w:t xml:space="preserve">Об оценке рыночной стоимости арендной платы за использование земельного участка» </w:t>
      </w:r>
      <w:r>
        <w:rPr>
          <w:shd w:fill="auto" w:val="clear"/>
        </w:rPr>
        <w:t>№0</w:t>
      </w:r>
      <w:r>
        <w:rPr>
          <w:shd w:fill="auto" w:val="clear"/>
        </w:rPr>
        <w:t>7</w:t>
      </w:r>
      <w:r>
        <w:rPr>
          <w:shd w:fill="auto" w:val="clear"/>
        </w:rPr>
        <w:t>2-</w:t>
      </w:r>
      <w:r>
        <w:rPr>
          <w:shd w:fill="auto" w:val="clear"/>
        </w:rPr>
        <w:t>12</w:t>
      </w:r>
      <w:r>
        <w:rPr>
          <w:shd w:fill="auto" w:val="clear"/>
        </w:rPr>
        <w:t xml:space="preserve">-25 от </w:t>
      </w:r>
      <w:r>
        <w:rPr>
          <w:shd w:fill="auto" w:val="clear"/>
        </w:rPr>
        <w:t>29</w:t>
      </w:r>
      <w:r>
        <w:rPr>
          <w:shd w:fill="auto" w:val="clear"/>
        </w:rPr>
        <w:t>.</w:t>
      </w:r>
      <w:r>
        <w:rPr>
          <w:shd w:fill="auto" w:val="clear"/>
        </w:rPr>
        <w:t>12</w:t>
      </w:r>
      <w:r>
        <w:rPr>
          <w:shd w:fill="auto" w:val="clear"/>
        </w:rPr>
        <w:t>.2025 и</w:t>
      </w:r>
      <w:r>
        <w:rPr/>
        <w:t xml:space="preserve">тоговая величина рыночной стоимости </w:t>
      </w:r>
      <w:r>
        <w:rPr>
          <w:u w:val="single"/>
        </w:rPr>
        <w:t>годовой</w:t>
      </w:r>
      <w:r>
        <w:rPr/>
        <w:t xml:space="preserve"> арендной платы предмета аукциона составляет     </w:t>
      </w:r>
      <w:r>
        <w:rPr>
          <w:b/>
          <w:bCs/>
        </w:rPr>
        <w:t xml:space="preserve">3 </w:t>
      </w:r>
      <w:r>
        <w:rPr>
          <w:b/>
          <w:bCs/>
        </w:rPr>
        <w:t>0</w:t>
      </w:r>
      <w:r>
        <w:rPr>
          <w:b/>
          <w:bCs/>
        </w:rPr>
        <w:t>00,00 (</w:t>
      </w:r>
      <w:r>
        <w:rPr/>
        <w:t xml:space="preserve">Три </w:t>
      </w:r>
      <w:r>
        <w:rPr/>
        <w:t>тысячи</w:t>
      </w:r>
      <w:r>
        <w:rPr/>
        <w:t xml:space="preserve">) рублей 00 копеек, НДС не облагается. </w:t>
      </w:r>
      <w:bookmarkEnd w:id="0"/>
    </w:p>
    <w:p>
      <w:pPr>
        <w:pStyle w:val="BodyTextIndent"/>
        <w:ind w:firstLine="709"/>
        <w:rPr>
          <w:szCs w:val="24"/>
        </w:rPr>
      </w:pPr>
      <w:r>
        <w:rPr>
          <w:b/>
        </w:rPr>
        <w:t>Шаг аукциона</w:t>
      </w:r>
      <w:r>
        <w:rPr/>
        <w:t xml:space="preserve"> – </w:t>
      </w:r>
      <w:r>
        <w:rPr>
          <w:b/>
          <w:bCs/>
        </w:rPr>
        <w:t>90</w:t>
      </w:r>
      <w:r>
        <w:rPr>
          <w:b/>
          <w:bCs/>
        </w:rPr>
        <w:t>,00</w:t>
      </w:r>
      <w:r>
        <w:rPr/>
        <w:t xml:space="preserve"> (</w:t>
      </w:r>
      <w:r>
        <w:rPr/>
        <w:t>Девяносто</w:t>
      </w:r>
      <w:r>
        <w:rPr/>
        <w:t xml:space="preserve">) рублей 00 копеек, что составляет 3% от начального размера годовой арендной платы. </w:t>
      </w:r>
      <w:r>
        <w:rPr>
          <w:szCs w:val="24"/>
        </w:rPr>
        <w:t>Время ожидания ценового предложения – 10 (десять) минут.</w:t>
      </w:r>
    </w:p>
    <w:p>
      <w:pPr>
        <w:pStyle w:val="BodyTextIndent"/>
        <w:ind w:hanging="0"/>
        <w:rPr>
          <w:szCs w:val="24"/>
        </w:rPr>
      </w:pPr>
      <w:r>
        <w:rPr>
          <w:b/>
          <w:szCs w:val="24"/>
        </w:rPr>
        <w:t xml:space="preserve">            </w:t>
      </w:r>
      <w:r>
        <w:rPr>
          <w:b/>
          <w:szCs w:val="24"/>
        </w:rPr>
        <w:t>Внесение задатка</w:t>
      </w:r>
      <w:r>
        <w:rPr>
          <w:szCs w:val="24"/>
        </w:rPr>
        <w:t xml:space="preserve">: Для участия в аукционе претендент вносит </w:t>
      </w:r>
      <w:r>
        <w:rPr>
          <w:szCs w:val="24"/>
          <w:shd w:fill="auto" w:val="clear"/>
        </w:rPr>
        <w:t xml:space="preserve">до </w:t>
      </w:r>
      <w:r>
        <w:rPr>
          <w:szCs w:val="24"/>
          <w:shd w:fill="auto" w:val="clear"/>
        </w:rPr>
        <w:t>10</w:t>
      </w:r>
      <w:r>
        <w:rPr>
          <w:szCs w:val="24"/>
          <w:shd w:fill="auto" w:val="clear"/>
        </w:rPr>
        <w:t>.0</w:t>
      </w:r>
      <w:r>
        <w:rPr>
          <w:szCs w:val="24"/>
          <w:shd w:fill="auto" w:val="clear"/>
        </w:rPr>
        <w:t>3</w:t>
      </w:r>
      <w:r>
        <w:rPr>
          <w:szCs w:val="24"/>
          <w:shd w:fill="auto" w:val="clear"/>
        </w:rPr>
        <w:t>.202</w:t>
      </w:r>
      <w:r>
        <w:rPr>
          <w:szCs w:val="24"/>
          <w:shd w:fill="auto" w:val="clear"/>
        </w:rPr>
        <w:t>6</w:t>
      </w:r>
      <w:r>
        <w:rPr>
          <w:szCs w:val="24"/>
          <w:shd w:fill="auto" w:val="clear"/>
        </w:rPr>
        <w:t xml:space="preserve"> г. з</w:t>
      </w:r>
      <w:r>
        <w:rPr>
          <w:szCs w:val="24"/>
        </w:rPr>
        <w:t xml:space="preserve">адаток в размере </w:t>
      </w:r>
      <w:r>
        <w:rPr>
          <w:bCs/>
          <w:szCs w:val="24"/>
        </w:rPr>
        <w:t xml:space="preserve">– </w:t>
      </w:r>
      <w:r>
        <w:rPr>
          <w:b/>
          <w:bCs/>
          <w:szCs w:val="24"/>
        </w:rPr>
        <w:t>6</w:t>
      </w:r>
      <w:r>
        <w:rPr>
          <w:b/>
          <w:bCs/>
          <w:szCs w:val="24"/>
        </w:rPr>
        <w:t>00,00</w:t>
      </w:r>
      <w:r>
        <w:rPr>
          <w:bCs/>
          <w:szCs w:val="24"/>
        </w:rPr>
        <w:t xml:space="preserve"> </w:t>
      </w:r>
      <w:r>
        <w:rPr/>
        <w:t>(</w:t>
      </w:r>
      <w:r>
        <w:rPr/>
        <w:t>Шестьсот</w:t>
      </w:r>
      <w:r>
        <w:rPr/>
        <w:t>) рублей 00 копеек</w:t>
      </w:r>
      <w:r>
        <w:rPr>
          <w:bCs/>
          <w:szCs w:val="24"/>
        </w:rPr>
        <w:t>, составляющий 20% начальной цены аукциона</w:t>
      </w:r>
      <w:r>
        <w:rPr>
          <w:szCs w:val="24"/>
        </w:rPr>
        <w:t>.</w:t>
      </w:r>
    </w:p>
    <w:p>
      <w:pPr>
        <w:pStyle w:val="BodyTextIndent"/>
        <w:rPr>
          <w:b/>
          <w:bCs/>
          <w:szCs w:val="24"/>
        </w:rPr>
      </w:pPr>
      <w:r>
        <w:rPr>
          <w:b/>
          <w:bCs/>
          <w:szCs w:val="24"/>
        </w:rPr>
        <w:t>Реквизиты для перечисления задатка: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Получатель: ООО «РТС-Тендер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Наименование банка: филиал «Корпоративный» ПАО «Совкомбанк»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Расчетный счет: 40702810512030016362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Корр.счет: 30101810445250000360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БИК: 044525360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ИНН: 7710357167</w:t>
      </w:r>
    </w:p>
    <w:p>
      <w:pPr>
        <w:pStyle w:val="BodyTextIndent"/>
        <w:rPr>
          <w:highlight w:val="none"/>
          <w:shd w:fill="auto" w:val="clear"/>
        </w:rPr>
      </w:pPr>
      <w:r>
        <w:rPr>
          <w:b w:val="false"/>
          <w:bCs w:val="false"/>
          <w:szCs w:val="24"/>
          <w:shd w:fill="auto" w:val="clear"/>
        </w:rPr>
        <w:t>КПП: 773001001</w:t>
      </w:r>
    </w:p>
    <w:p>
      <w:pPr>
        <w:pStyle w:val="BodyTextIndent"/>
        <w:rPr>
          <w:b w:val="false"/>
          <w:bCs w:val="false"/>
        </w:rPr>
      </w:pPr>
      <w:r>
        <w:rPr>
          <w:b w:val="false"/>
          <w:bCs w:val="false"/>
          <w:szCs w:val="24"/>
          <w:shd w:fill="auto" w:val="clear"/>
        </w:rPr>
        <w:t xml:space="preserve">Назначение платежа: </w:t>
      </w:r>
      <w:r>
        <w:rPr>
          <w:b w:val="false"/>
          <w:bCs w:val="false"/>
          <w:szCs w:val="24"/>
        </w:rPr>
        <w:t>Внесение гарантийного обеспечения по Соглашению о внесении гарантийного обеспечения, № аналитического счета _________, без НДС.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Аналитический счет претендента – счет претендента, открытый ему оператором электронной площадки при регистрации на электронной площадке.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В платежном поручении в разделе «Назначение платежа» заявитель должен указать дату проведения аукциона, номер лота и наименование выставленного на аукцион объекта, в отношении которого им подается заявка.</w:t>
      </w:r>
    </w:p>
    <w:p>
      <w:pPr>
        <w:pStyle w:val="BodyTextIndent"/>
        <w:rPr>
          <w:bCs/>
          <w:szCs w:val="24"/>
        </w:rPr>
      </w:pPr>
      <w:r>
        <w:rPr>
          <w:bCs/>
          <w:szCs w:val="24"/>
        </w:rPr>
        <w:t>Задаток перечисляется на счет, открываемый Оператором электронной площадки на основании заявления Заявителя (Участника) торгов после прохождения процедуры аккредитации на площадке в соответствии с требованиями Оператора электронной площадки. За</w:t>
      </w:r>
      <w:r>
        <w:rPr>
          <w:bCs/>
          <w:szCs w:val="24"/>
          <w:shd w:fill="auto" w:val="clear"/>
        </w:rPr>
        <w:t xml:space="preserve">даток должен быть внесен на счет до срока окончания приема Заявок. </w:t>
      </w:r>
    </w:p>
    <w:p>
      <w:pPr>
        <w:pStyle w:val="BodyTextIndent"/>
        <w:rPr>
          <w:highlight w:val="none"/>
          <w:shd w:fill="FFFF00" w:val="clear"/>
        </w:rPr>
      </w:pPr>
      <w:r>
        <w:rPr>
          <w:bCs/>
          <w:szCs w:val="24"/>
          <w:shd w:fill="auto" w:val="clear"/>
        </w:rPr>
        <w:t>Возврат задатка Оператором электронной площадки осуществляется: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>- в случае, если Участнику торгов было отказано в принятии заявки на участие в торгах в течение 1 (одного) рабочего дня после размещения протокола об определении участников;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 xml:space="preserve">- участникам, которые не признаны победителями и не присвоены первые три порядковых номера, после отзыва ими заявок на участие, в течение 1 (одного) рабочего дня с даты опубликования протокола подведения итогов; 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 xml:space="preserve">- в случае признания торгов несостоявшимися по причинам, не зависящим от Участника торгов в течение 1 (одного) рабочего дня с момента опубликования протокола о результатах торгов. </w:t>
      </w:r>
    </w:p>
    <w:p>
      <w:pPr>
        <w:pStyle w:val="BodyTextIndent"/>
        <w:ind w:hanging="0"/>
        <w:rPr>
          <w:bCs/>
          <w:szCs w:val="24"/>
        </w:rPr>
      </w:pPr>
      <w:r>
        <w:rPr>
          <w:bCs/>
          <w:szCs w:val="24"/>
        </w:rPr>
        <w:t>- в случае отмены торгов в течение 1 (одного) рабочего дня с даты принятия Организатором торгов решения об отмене торгов.</w:t>
      </w:r>
    </w:p>
    <w:p>
      <w:pPr>
        <w:pStyle w:val="Normal"/>
        <w:ind w:firstLine="540"/>
        <w:jc w:val="both"/>
        <w:rPr>
          <w:b/>
        </w:rPr>
      </w:pPr>
      <w:r>
        <w:rPr>
          <w:b/>
        </w:rPr>
        <w:t>Документы, необходимые для участия в торгах:</w:t>
      </w:r>
    </w:p>
    <w:p>
      <w:pPr>
        <w:pStyle w:val="Normal"/>
        <w:jc w:val="both"/>
        <w:rPr/>
      </w:pPr>
      <w:r>
        <w:rPr>
          <w:b/>
        </w:rPr>
        <w:t xml:space="preserve">         </w:t>
      </w:r>
      <w:r>
        <w:rPr>
          <w:i w:val="false"/>
          <w:iCs w:val="false"/>
          <w:u w:val="single"/>
        </w:rPr>
        <w:t>Одно лицо имеет право подать только одну заявку.</w:t>
      </w:r>
    </w:p>
    <w:p>
      <w:pPr>
        <w:pStyle w:val="Normal"/>
        <w:ind w:firstLine="540"/>
        <w:jc w:val="both"/>
        <w:rPr/>
      </w:pPr>
      <w:r>
        <w:rPr/>
        <w:t>Подача заявки осуществляется путем заполнения электронной формы, размещенной на электронной площадке, подписываемой электронной подписью Пользователя (его уполномоченного представителя).</w:t>
      </w:r>
    </w:p>
    <w:p>
      <w:pPr>
        <w:pStyle w:val="Normal"/>
        <w:ind w:firstLine="540"/>
        <w:jc w:val="both"/>
        <w:rPr/>
      </w:pPr>
      <w:r>
        <w:rPr/>
        <w:t>Все документы, входящие в состав Заявки на участие в аукционе, должны быть предоставлены Участником аукциона через Электронную торговую площадку (ЭТП) в отсканированном виде в доступном для прочтения формате (предпочтительнее формат *.pdf, формат: один файл – один документ). Все файлы Заявки на участие в аукционе, размещенные Участником аукциона на ЭТП, должны иметь наименование либо комментарий, позволяющие идентифицировать содержание данного файла Заявки на участие в аукционе, с указанием наименования документа, представленного данным файлом.</w:t>
      </w:r>
    </w:p>
    <w:p>
      <w:pPr>
        <w:pStyle w:val="Normal"/>
        <w:ind w:firstLine="540"/>
        <w:jc w:val="both"/>
        <w:rPr/>
      </w:pPr>
      <w:r>
        <w:rPr/>
        <w:t xml:space="preserve">  </w:t>
      </w:r>
      <w:r>
        <w:rPr/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>
      <w:pPr>
        <w:pStyle w:val="Normal"/>
        <w:ind w:firstLine="540"/>
        <w:jc w:val="both"/>
        <w:rPr/>
      </w:pPr>
      <w:r>
        <w:rPr/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>
      <w:pPr>
        <w:pStyle w:val="Normal"/>
        <w:ind w:firstLine="540"/>
        <w:jc w:val="both"/>
        <w:rPr/>
      </w:pPr>
      <w:r>
        <w:rPr/>
        <w:t>2) копии документов, удостоверяющих личность заявителя (для граждан);</w:t>
      </w:r>
    </w:p>
    <w:p>
      <w:pPr>
        <w:pStyle w:val="Normal"/>
        <w:ind w:firstLine="540"/>
        <w:jc w:val="both"/>
        <w:rPr/>
      </w:pPr>
      <w:r>
        <w:rPr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ind w:firstLine="540"/>
        <w:jc w:val="both"/>
        <w:rPr/>
      </w:pPr>
      <w:r>
        <w:rPr/>
        <w:t xml:space="preserve">4) документы, подтверждающие внесение задатка.  </w:t>
      </w:r>
    </w:p>
    <w:p>
      <w:pPr>
        <w:pStyle w:val="Normal"/>
        <w:ind w:firstLine="540"/>
        <w:jc w:val="both"/>
        <w:rPr/>
      </w:pPr>
      <w:r>
        <w:rPr/>
        <w:t>Указанные документы в части их оформления и содержания должны соответствовать требованиям действующего законодательства РФ.</w:t>
      </w:r>
    </w:p>
    <w:p>
      <w:pPr>
        <w:pStyle w:val="Normal"/>
        <w:ind w:firstLine="540"/>
        <w:jc w:val="both"/>
        <w:rPr/>
      </w:pPr>
      <w:r>
        <w:rPr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>
      <w:pPr>
        <w:pStyle w:val="Normal"/>
        <w:ind w:firstLine="540"/>
        <w:jc w:val="both"/>
        <w:rPr/>
      </w:pPr>
      <w:r>
        <w:rPr/>
        <w:t xml:space="preserve">Заявки, поступившие после истечения срока приема заявок, указанного в информационном сообщении, Организатором торгов не рассматриваются, Пользователи к торгам не допускаются. </w:t>
      </w:r>
    </w:p>
    <w:p>
      <w:pPr>
        <w:pStyle w:val="Normal"/>
        <w:ind w:firstLine="540"/>
        <w:jc w:val="both"/>
        <w:rPr/>
      </w:pPr>
      <w:r>
        <w:rPr/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>
      <w:pPr>
        <w:pStyle w:val="Normal"/>
        <w:ind w:firstLine="540"/>
        <w:jc w:val="both"/>
        <w:rPr/>
      </w:pPr>
      <w:r>
        <w:rPr/>
        <w:t>Индивидуальные предприниматели, действующие без образования юридического лица, принимают участие в аукционе как физические лица.</w:t>
      </w:r>
    </w:p>
    <w:p>
      <w:pPr>
        <w:pStyle w:val="Normal"/>
        <w:ind w:firstLine="540"/>
        <w:jc w:val="both"/>
        <w:rPr/>
      </w:pPr>
      <w:r>
        <w:rPr/>
        <w:t>Подавая заявку на участие, участник принимает и соглашается с условиями настоящей аукционной документации.</w:t>
      </w:r>
    </w:p>
    <w:p>
      <w:pPr>
        <w:pStyle w:val="Normal"/>
        <w:ind w:firstLine="540"/>
        <w:jc w:val="both"/>
        <w:rPr/>
      </w:pPr>
      <w:r>
        <w:rPr/>
        <w:t xml:space="preserve">  </w:t>
      </w:r>
      <w:r>
        <w:rPr/>
        <w:t>Документооборот между Претендентами, участниками аукциона,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аренды,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либо Организатора аукциона и отправитель несет ответственность за подлинность и достоверность таких документов и сведений (электронные документы, направляемые Организатором аукциона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 аукциона).</w:t>
      </w:r>
    </w:p>
    <w:p>
      <w:pPr>
        <w:pStyle w:val="Normal"/>
        <w:ind w:firstLine="540"/>
        <w:jc w:val="both"/>
        <w:rPr>
          <w:b/>
        </w:rPr>
      </w:pPr>
      <w:r>
        <w:rPr>
          <w:b/>
        </w:rPr>
        <w:t>Рассмотрение заявок</w:t>
      </w:r>
    </w:p>
    <w:p>
      <w:pPr>
        <w:pStyle w:val="555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</w:t>
      </w:r>
      <w:r>
        <w:rPr>
          <w:rFonts w:ascii="Times New Roman" w:hAnsi="Times New Roman"/>
          <w:bCs/>
          <w:iCs/>
          <w:sz w:val="24"/>
          <w:szCs w:val="24"/>
        </w:rPr>
        <w:t xml:space="preserve"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>
      <w:pPr>
        <w:pStyle w:val="555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/>
          <w:bCs/>
          <w:iCs/>
          <w:sz w:val="24"/>
          <w:szCs w:val="24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>
      <w:pPr>
        <w:pStyle w:val="555"/>
        <w:ind w:hanging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</w:t>
      </w:r>
      <w:r>
        <w:rPr>
          <w:rFonts w:ascii="Times New Roman" w:hAnsi="Times New Roman"/>
          <w:bCs/>
          <w:iCs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 </w:t>
      </w:r>
    </w:p>
    <w:p>
      <w:pPr>
        <w:pStyle w:val="555"/>
        <w:ind w:firstLine="708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Претендент не допускается к участию в аукционе в следующих случаях:</w:t>
      </w:r>
    </w:p>
    <w:p>
      <w:pPr>
        <w:pStyle w:val="ListParagraph"/>
        <w:numPr>
          <w:ilvl w:val="0"/>
          <w:numId w:val="1"/>
        </w:numPr>
        <w:ind w:hanging="294" w:left="720"/>
        <w:jc w:val="both"/>
        <w:rPr>
          <w:rFonts w:eastAsia="Arial" w:cs="Times New Roman"/>
          <w:bCs/>
          <w:iCs/>
          <w:kern w:val="0"/>
          <w:lang w:eastAsia="ar-SA" w:bidi="ar-SA"/>
        </w:rPr>
      </w:pPr>
      <w:r>
        <w:rPr>
          <w:rFonts w:eastAsia="Arial" w:cs="Times New Roman"/>
          <w:bCs/>
          <w:iCs/>
          <w:kern w:val="0"/>
          <w:lang w:eastAsia="ar-SA" w:bidi="ar-SA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ind w:firstLine="540"/>
        <w:jc w:val="both"/>
        <w:rPr>
          <w:rFonts w:eastAsia="Arial" w:cs="Times New Roman"/>
          <w:bCs/>
          <w:iCs/>
          <w:kern w:val="0"/>
          <w:lang w:eastAsia="ar-SA" w:bidi="ar-SA"/>
        </w:rPr>
      </w:pPr>
      <w:r>
        <w:rPr>
          <w:rFonts w:eastAsia="Arial" w:cs="Times New Roman"/>
          <w:bCs/>
          <w:iCs/>
          <w:kern w:val="0"/>
          <w:lang w:eastAsia="ar-SA" w:bidi="ar-SA"/>
        </w:rPr>
        <w:t>2) непоступление задатка на дату рассмотрения заявок на участие в аукционе;</w:t>
      </w:r>
    </w:p>
    <w:p>
      <w:pPr>
        <w:pStyle w:val="Normal"/>
        <w:ind w:firstLine="540"/>
        <w:jc w:val="both"/>
        <w:rPr>
          <w:rFonts w:eastAsia="Arial" w:cs="Times New Roman"/>
          <w:bCs/>
          <w:iCs/>
          <w:kern w:val="0"/>
          <w:lang w:eastAsia="ar-SA" w:bidi="ar-SA"/>
        </w:rPr>
      </w:pPr>
      <w:r>
        <w:rPr>
          <w:rFonts w:eastAsia="Arial" w:cs="Times New Roman"/>
          <w:bCs/>
          <w:iCs/>
          <w:kern w:val="0"/>
          <w:lang w:eastAsia="ar-SA" w:bidi="ar-SA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>
      <w:pPr>
        <w:pStyle w:val="Normal"/>
        <w:ind w:firstLine="540"/>
        <w:jc w:val="both"/>
        <w:rPr/>
      </w:pPr>
      <w:r>
        <w:rPr>
          <w:rFonts w:eastAsia="Arial" w:cs="Times New Roman"/>
          <w:bCs/>
          <w:iCs/>
          <w:kern w:val="0"/>
          <w:lang w:eastAsia="ar-SA" w:bidi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  <w:r>
        <w:rPr/>
        <w:t xml:space="preserve">  </w:t>
      </w:r>
    </w:p>
    <w:p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>
      <w:pPr>
        <w:pStyle w:val="Normal"/>
        <w:ind w:firstLine="540"/>
        <w:jc w:val="both"/>
        <w:rPr/>
      </w:pPr>
      <w:r>
        <w:rPr>
          <w:b/>
        </w:rPr>
        <w:t xml:space="preserve">Порядок проведения аукциона: </w:t>
      </w:r>
    </w:p>
    <w:p>
      <w:pPr>
        <w:pStyle w:val="Normal"/>
        <w:ind w:firstLine="540"/>
        <w:jc w:val="both"/>
        <w:rPr/>
      </w:pPr>
      <w:r>
        <w:rPr/>
        <w:t>Процедура Аукциона проводится путем повышения начальной (минимальной) цены договора Заявителями аукциона, которые допущены Организатором торгов и признаны Участниками аукциона.</w:t>
      </w:r>
    </w:p>
    <w:p>
      <w:pPr>
        <w:pStyle w:val="Normal"/>
        <w:ind w:firstLine="540"/>
        <w:jc w:val="both"/>
        <w:rPr/>
      </w:pPr>
      <w:r>
        <w:rPr/>
        <w:t>Подача ценовых предложений в ходе проведения Аукциона производится многократно.</w:t>
      </w:r>
    </w:p>
    <w:p>
      <w:pPr>
        <w:pStyle w:val="Normal"/>
        <w:ind w:firstLine="540"/>
        <w:jc w:val="both"/>
        <w:rPr/>
      </w:pPr>
      <w:r>
        <w:rPr/>
        <w:t>Открытый одноэтапный Аукцион на повышение в электронной форме проводится в следующем порядке: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При проведении аукциона Участники подают предложения о цене согласно шагу аукциона.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Оператор размещает в торговой секции лучшее текущее предложение и время его поступления, а также время, оставшееся до истечения срока предоставления предложений.           Если в течение времени для подачи предложений о цене не поступает ни одного предложения о цене, аукцион автоматически при помощи программных и технических средств завершается.</w:t>
      </w:r>
    </w:p>
    <w:p>
      <w:pPr>
        <w:pStyle w:val="Normal"/>
        <w:ind w:firstLine="540"/>
        <w:jc w:val="both"/>
        <w:rPr/>
      </w:pPr>
      <w:r>
        <w:rPr/>
        <w:t xml:space="preserve">   </w:t>
      </w:r>
      <w:r>
        <w:rPr/>
        <w:t>В ходе проведения аукциона Оператор автоматически отклоняет предложение о цене в момент его поступления, в случае если:</w:t>
      </w:r>
    </w:p>
    <w:p>
      <w:pPr>
        <w:pStyle w:val="Normal"/>
        <w:jc w:val="both"/>
        <w:rPr/>
      </w:pPr>
      <w:r>
        <w:rPr/>
        <w:t>- представленное предложение о цене ниже цены соответствующего шага;</w:t>
      </w:r>
    </w:p>
    <w:p>
      <w:pPr>
        <w:pStyle w:val="Normal"/>
        <w:jc w:val="both"/>
        <w:rPr/>
      </w:pPr>
      <w:r>
        <w:rPr/>
        <w:t>- представленное Участником предложение о цене меньше или равно предложению о цене, ранее представленному таким Участником;</w:t>
      </w:r>
    </w:p>
    <w:p>
      <w:pPr>
        <w:pStyle w:val="Normal"/>
        <w:jc w:val="both"/>
        <w:rPr/>
      </w:pPr>
      <w:r>
        <w:rPr/>
        <w:t xml:space="preserve">- представленное Участником предложение о цене ниже его предыдущего предложения о цене, если предыдущее предложение такого Участника является текущим лучшим предложением о цене. </w:t>
      </w:r>
    </w:p>
    <w:p>
      <w:pPr>
        <w:pStyle w:val="Normal"/>
        <w:ind w:firstLine="540"/>
        <w:jc w:val="both"/>
        <w:rPr/>
      </w:pPr>
      <w:r>
        <w:rPr/>
        <w:t>Участник аукциона вправе подать предложение о цене, которое будет выше его предыдущего предложения о цене в случае, если его предыдущее предложение о цене не является текущим лучшим предложением о цене.</w:t>
      </w:r>
    </w:p>
    <w:p>
      <w:pPr>
        <w:pStyle w:val="Normal"/>
        <w:ind w:firstLine="540"/>
        <w:jc w:val="both"/>
        <w:rPr/>
      </w:pPr>
      <w:r>
        <w:rPr/>
        <w:t>В ходе аукциона время и последовательность регистрации предложения о цене фиксируется по серверному времени универсальной торговой платформы по факту подачи предложения о цене, принятого Оператором.</w:t>
      </w:r>
    </w:p>
    <w:p>
      <w:pPr>
        <w:pStyle w:val="Normal"/>
        <w:ind w:firstLine="540"/>
        <w:jc w:val="both"/>
        <w:rPr/>
      </w:pPr>
      <w:r>
        <w:rPr/>
        <w:t xml:space="preserve">В ходе торговой сессии время для подачи предложений о цене определяется в следующем порядке: </w:t>
      </w:r>
    </w:p>
    <w:p>
      <w:pPr>
        <w:pStyle w:val="Normal"/>
        <w:jc w:val="both"/>
        <w:rPr/>
      </w:pPr>
      <w:r>
        <w:rPr/>
        <w:t>- время для подачи первого предложения о цене составляет 10 (десять) минут с момента начала торговой сессии;</w:t>
      </w:r>
    </w:p>
    <w:p>
      <w:pPr>
        <w:pStyle w:val="Normal"/>
        <w:jc w:val="both"/>
        <w:rPr/>
      </w:pPr>
      <w:r>
        <w:rPr/>
        <w:t>- в случае поступления предложения о цене, являющегося лучшим текущим предложением о цене, время для подачи предложений о цене продлевается на 10 (десять) минут с момента приема Оператором каждого из таких предложений. Если в течение 10 (десяти) минут после предоставления лучшего текущего предложения о цене не поступило следующее лучшее предложение о цене, аукцион автоматически, при помощи программных и технических средств завершается.</w:t>
      </w:r>
    </w:p>
    <w:p>
      <w:pPr>
        <w:pStyle w:val="Normal"/>
        <w:ind w:firstLine="540"/>
        <w:jc w:val="both"/>
        <w:rPr/>
      </w:pPr>
      <w:r>
        <w:rPr/>
        <w:t>Оператор публикует протокол проведения аукциона, где указывает лучшие предложения о цене, поданные участниками в ходе торговой сессии.</w:t>
      </w:r>
    </w:p>
    <w:p>
      <w:pPr>
        <w:pStyle w:val="Normal"/>
        <w:ind w:firstLine="540"/>
        <w:jc w:val="both"/>
        <w:rPr/>
      </w:pPr>
      <w:r>
        <w:rPr/>
        <w:t xml:space="preserve">Оператор обеспечивает ведение электронного журнала хода процедуры продажи (протокол проведения аукциона). </w:t>
      </w:r>
    </w:p>
    <w:p>
      <w:pPr>
        <w:pStyle w:val="Normal"/>
        <w:ind w:firstLine="540"/>
        <w:jc w:val="both"/>
        <w:rPr/>
      </w:pPr>
      <w:r>
        <w:rPr/>
        <w:t xml:space="preserve">В течение одного часа со времени завершения приема предложений о цене имущества Оператор направляет Организатору торгов протокол проведения аукциона.  </w:t>
      </w:r>
    </w:p>
    <w:p>
      <w:pPr>
        <w:pStyle w:val="Normal"/>
        <w:ind w:firstLine="540"/>
        <w:jc w:val="both"/>
        <w:rPr/>
      </w:pPr>
      <w:r>
        <w:rPr/>
        <w:t xml:space="preserve">Организатор торгов в сроки, установленные документацией, принимает решение об определении победителя и подписывает протокол подведения итогов торгов.  </w:t>
      </w:r>
    </w:p>
    <w:p>
      <w:pPr>
        <w:pStyle w:val="Normal"/>
        <w:jc w:val="both"/>
        <w:rPr/>
      </w:pPr>
      <w:r>
        <w:rPr/>
        <w:t xml:space="preserve">         </w:t>
      </w:r>
      <w:r>
        <w:rPr>
          <w:b/>
        </w:rPr>
        <w:t>Порядок определения победителя:</w:t>
      </w:r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Победителем аукциона признается Участник аукциона, предложивший наиболее высокую цену за право заключения договора.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 xml:space="preserve">В том случае, если несколькими Участниками будут поданы равные предложения о цене, лучшим признается предложение о цене, поступившее ранее других предложений.    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Победитель аукциона определяется Организатором торгов на основании журнала хода торгов и требований аукционной документации.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>Порядок завершения процедуры.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Организатор торгов размещает на ЭТП протокол подведения итогов Аукциона.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Процедура признается несостоявшейся в случае:</w:t>
      </w:r>
    </w:p>
    <w:p>
      <w:pPr>
        <w:pStyle w:val="Normal"/>
        <w:jc w:val="both"/>
        <w:rPr/>
      </w:pPr>
      <w:r>
        <w:rPr/>
        <w:t>-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>
      <w:pPr>
        <w:pStyle w:val="Normal"/>
        <w:jc w:val="both"/>
        <w:rPr/>
      </w:pPr>
      <w:r>
        <w:rPr/>
        <w:t xml:space="preserve">-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 </w:t>
      </w:r>
    </w:p>
    <w:p>
      <w:pPr>
        <w:pStyle w:val="Normal"/>
        <w:jc w:val="both"/>
        <w:rPr/>
      </w:pPr>
      <w:r>
        <w:rPr/>
        <w:t>-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ежегодной арендной платы не поступило ни одного предложения о размере ежегодной арендной платы, которое предусматривало бы более высокий размер ежегодной арендной платы.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В течение 1 (одного) рабочего дня с даты опубликования протокола подведения итогов Оператор прекращает блокирование денежных средств (задатка) Участников, принявших участие в процедуре, кроме денежных средств Победителя/единственного участника и Участников, занявшие второе и третье места.     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случае уклонения или отказа Победителя от заключения договора Организатор торгов публикует протокол отказа заключения договора.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Организатор торгов вправе заключить договор аренды с Участником, занявшим второе место, в случае отказа или уклонения Победителя от заключения договора. В этом случае Оператор продолжает блокировать задаток Участника, занявшего второе место, до заключения с ним договора аренды в срок, указанный в документации к процедуре.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В случае отказа или уклонения Победителя, Участника, занявшего второе место, от подписания договора аренды в течение срока для заключения такого договора, установленного в документации к процедуре, внесенный задаток не возвращается и перечисляется на счет Организатора торгов.</w:t>
      </w:r>
    </w:p>
    <w:p>
      <w:pPr>
        <w:pStyle w:val="Normal"/>
        <w:jc w:val="both"/>
        <w:rPr>
          <w:b/>
        </w:rPr>
      </w:pPr>
      <w:r>
        <w:rPr/>
        <w:t xml:space="preserve">          </w:t>
      </w:r>
      <w:r>
        <w:rPr>
          <w:b/>
        </w:rPr>
        <w:t>Порядок заключения договора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 xml:space="preserve">Договор аренды земельного участка с Победителем аукциона (единственным участником аукциона, в случае принятия решения о заключении с ним договора) заключается по форме, утвержденной настоящей аукционной документацией. </w:t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FF0000"/>
          <w:sz w:val="24"/>
          <w:szCs w:val="24"/>
          <w:lang w:eastAsia="ru-RU"/>
        </w:rPr>
        <w:t xml:space="preserve">Внимание!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(Постановление Правительства РФ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размеров"), в соответствии с Регламентом Оператора электронной площадки и Инструкциями, размещенными на электронной площадке:  </w:t>
      </w:r>
      <w:hyperlink r:id="rId4">
        <w:r>
          <w:rPr>
            <w:rStyle w:val="Hyperlink"/>
            <w:rFonts w:eastAsia="Times New Roman" w:cs="Times New Roman"/>
            <w:color w:val="000000"/>
            <w:sz w:val="24"/>
            <w:szCs w:val="24"/>
            <w:lang w:eastAsia="ru-RU"/>
          </w:rPr>
          <w:t>https://www.rts-tender.ru/tariffs/platform-property-sales-tariffs</w:t>
        </w:r>
      </w:hyperlink>
      <w:r>
        <w:rPr>
          <w:rStyle w:val="Hyperlink"/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(далее — Гарантийное обеспечение оплаты оказания услуг).</w:t>
      </w:r>
    </w:p>
    <w:p>
      <w:pPr>
        <w:pStyle w:val="Normal"/>
        <w:jc w:val="both"/>
        <w:rPr/>
      </w:pPr>
      <w:r>
        <w:rPr/>
        <w:tab/>
        <w:t xml:space="preserve">По вопросам получения дополнительной информации о возможности участия в торгах на электронной площадке обращаться в Службу технической поддержки </w:t>
      </w:r>
      <w:hyperlink r:id="rId5">
        <w:r>
          <w:rPr>
            <w:rStyle w:val="Hyperlink"/>
          </w:rPr>
          <w:t>nfo@rts-tender.ru</w:t>
        </w:r>
      </w:hyperlink>
      <w:r>
        <w:rPr/>
        <w:t xml:space="preserve"> .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>
      <w:pPr>
        <w:pStyle w:val="Normal"/>
        <w:jc w:val="both"/>
        <w:rPr/>
      </w:pPr>
      <w:r>
        <w:rPr/>
        <w:tab/>
        <w:t>Уполномоченный орган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участка, находящегося в государственной или муниципальной собственности.</w:t>
      </w:r>
    </w:p>
    <w:p>
      <w:pPr>
        <w:pStyle w:val="Normal"/>
        <w:jc w:val="both"/>
        <w:rPr/>
      </w:pPr>
      <w:r>
        <w:rPr/>
        <w:tab/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 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случае уклонения победителя торгов от заключения договора, Организатор торгов уведомляет участника торгов, сделавшего предпоследнее предложение о цене, по телефону, электронной почте или телеграммой с уведомлением о вручении по адресу, указанному в заявке на участие в торгах (не позднее следующего рабочего дня, когда Организатору торгов стало известно об уклонении победителя от заключения договора).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Организатор заключает договор с участником торгов, который сделал предпоследнее предложение о цене. При этом заключение договора для участника торгов, который сделал предпоследнее предложение о цене, является обязательным.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В случае если Победитель торгов или Участник, сделавший предпоследнее предложение о цене, признается уклонившимся от заключения договора, то денежные средства, внесенные им в качестве обеспечения заявки (задаток), не возвращаются.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В случае если по окончании срока подачи заявок на участие в торгах, подана только одна заявка и (или) по результатам рассмотрения заявок только один заявитель признан Участником торгов, Организатор вправе заключить договор с единственным участником по предмету торгов по начальной цене торгов и на условиях, установленных настоящей документацией.</w:t>
      </w:r>
    </w:p>
    <w:p>
      <w:pPr>
        <w:pStyle w:val="Normal"/>
        <w:jc w:val="both"/>
        <w:rPr/>
      </w:pPr>
      <w:r>
        <w:rPr/>
        <w:tab/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Условия договора, заключаемого по результатам торгов: прилагаются (в форме проекта договора аренды земельного участка).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FreeSetC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32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ru-RU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9321f"/>
    <w:rPr>
      <w:rFonts w:cs="Times New Roman"/>
      <w:color w:val="0000FF"/>
      <w:u w:val="single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99321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99321f"/>
    <w:rPr>
      <w:rFonts w:ascii="Times New Roman" w:hAnsi="Times New Roman" w:eastAsia="Calibri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1"/>
    <w:uiPriority w:val="99"/>
    <w:qFormat/>
    <w:locked/>
    <w:rsid w:val="0099321f"/>
    <w:rPr>
      <w:rFonts w:ascii="Arial" w:hAnsi="Arial" w:eastAsia="Calibri" w:cs="Times New Roman"/>
      <w:lang w:eastAsia="ar-SA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uiPriority w:val="99"/>
    <w:rsid w:val="0099321f"/>
    <w:pPr>
      <w:widowControl/>
      <w:suppressAutoHyphens w:val="false"/>
      <w:spacing w:before="0" w:after="120"/>
    </w:pPr>
    <w:rPr>
      <w:rFonts w:eastAsia="Calibri" w:cs="Times New Roman"/>
      <w:kern w:val="0"/>
      <w:sz w:val="28"/>
      <w:szCs w:val="20"/>
      <w:lang w:eastAsia="ru-RU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4"/>
    <w:uiPriority w:val="99"/>
    <w:semiHidden/>
    <w:rsid w:val="0099321f"/>
    <w:pPr>
      <w:widowControl/>
      <w:suppressAutoHyphens w:val="false"/>
      <w:ind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styleId="555" w:customStyle="1">
    <w:name w:val="+++555"/>
    <w:basedOn w:val="Normal"/>
    <w:qFormat/>
    <w:rsid w:val="0099321f"/>
    <w:pPr>
      <w:widowControl/>
      <w:spacing w:lineRule="atLeast" w:line="180" w:before="28" w:after="0"/>
      <w:ind w:firstLine="113"/>
      <w:jc w:val="both"/>
    </w:pPr>
    <w:rPr>
      <w:rFonts w:ascii="FreeSetC" w:hAnsi="FreeSetC" w:eastAsia="Arial" w:cs="Times New Roman"/>
      <w:kern w:val="0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99321f"/>
    <w:pPr>
      <w:spacing w:before="0" w:after="0"/>
      <w:ind w:left="720"/>
      <w:contextualSpacing/>
    </w:pPr>
    <w:rPr>
      <w:rFonts w:cs="Mangal"/>
      <w:szCs w:val="21"/>
    </w:rPr>
  </w:style>
  <w:style w:type="paragraph" w:styleId="ConsPlusNormal1" w:customStyle="1">
    <w:name w:val="ConsPlusNormal"/>
    <w:link w:val="ConsPlusNormal"/>
    <w:uiPriority w:val="99"/>
    <w:qFormat/>
    <w:rsid w:val="0099321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Times New Roman" w:eastAsiaTheme="minorHAnsi"/>
      <w:color w:val="auto"/>
      <w:kern w:val="0"/>
      <w:sz w:val="22"/>
      <w:szCs w:val="22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rts-tender.ru/" TargetMode="External"/><Relationship Id="rId4" Type="http://schemas.openxmlformats.org/officeDocument/2006/relationships/hyperlink" Target="https://www.rts-tender.ru/tariffs/platform-property-sales-tariffs" TargetMode="External"/><Relationship Id="rId5" Type="http://schemas.openxmlformats.org/officeDocument/2006/relationships/hyperlink" Target="mailto:nfo@rts-tender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Application>LibreOffice/7.6.7.2$Linux_X86_64 LibreOffice_project/60$Build-2</Application>
  <AppVersion>15.0000</AppVersion>
  <Pages>7</Pages>
  <Words>2669</Words>
  <Characters>18613</Characters>
  <CharactersWithSpaces>21542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2025-05-07T08:04:00Z</dcterms:created>
  <dc:creator>User1</dc:creator>
  <dc:description/>
  <dc:language>ru-RU</dc:language>
  <cp:lastModifiedBy/>
  <dcterms:modified xsi:type="dcterms:W3CDTF">2026-02-18T15:49:58Z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