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sz w:val="28"/>
          <w:szCs w:val="28"/>
        </w:rPr>
      </w:pPr>
      <w:r>
        <w:rPr>
          <w:rFonts w:cs="Times New Roman" w:ascii="Times New Roman" w:hAnsi="Times New Roman"/>
          <w:sz w:val="28"/>
          <w:szCs w:val="28"/>
        </w:rPr>
        <w:t>Утвержден</w:t>
      </w:r>
    </w:p>
    <w:p>
      <w:pPr>
        <w:pStyle w:val="Normal"/>
        <w:jc w:val="right"/>
        <w:rPr>
          <w:color w:val="000000"/>
        </w:rPr>
      </w:pPr>
      <w:r>
        <w:rPr>
          <w:rFonts w:cs="Times New Roman" w:ascii="Times New Roman" w:hAnsi="Times New Roman"/>
          <w:color w:val="000000"/>
          <w:sz w:val="28"/>
          <w:szCs w:val="28"/>
        </w:rPr>
        <w:t xml:space="preserve">Протоколом от </w:t>
      </w:r>
      <w:r>
        <w:rPr>
          <w:rFonts w:cs="Times New Roman" w:ascii="Times New Roman" w:hAnsi="Times New Roman"/>
          <w:color w:val="000000"/>
          <w:sz w:val="28"/>
          <w:szCs w:val="28"/>
        </w:rPr>
        <w:t>17</w:t>
      </w:r>
      <w:r>
        <w:rPr>
          <w:rFonts w:cs="Times New Roman" w:ascii="Times New Roman" w:hAnsi="Times New Roman"/>
          <w:color w:val="000000"/>
          <w:sz w:val="28"/>
          <w:szCs w:val="28"/>
        </w:rPr>
        <w:t>.0</w:t>
      </w:r>
      <w:r>
        <w:rPr>
          <w:rFonts w:cs="Times New Roman" w:ascii="Times New Roman" w:hAnsi="Times New Roman"/>
          <w:color w:val="000000"/>
          <w:sz w:val="28"/>
          <w:szCs w:val="28"/>
        </w:rPr>
        <w:t>2</w:t>
      </w:r>
      <w:r>
        <w:rPr>
          <w:rFonts w:cs="Times New Roman" w:ascii="Times New Roman" w:hAnsi="Times New Roman"/>
          <w:color w:val="000000"/>
          <w:sz w:val="28"/>
          <w:szCs w:val="28"/>
        </w:rPr>
        <w:t>.202</w:t>
      </w:r>
      <w:r>
        <w:rPr>
          <w:rFonts w:cs="Times New Roman" w:ascii="Times New Roman" w:hAnsi="Times New Roman"/>
          <w:color w:val="000000"/>
          <w:sz w:val="28"/>
          <w:szCs w:val="28"/>
        </w:rPr>
        <w:t>6</w:t>
      </w: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4</w:t>
      </w:r>
    </w:p>
    <w:p>
      <w:pPr>
        <w:pStyle w:val="Normal"/>
        <w:jc w:val="right"/>
        <w:rPr>
          <w:rFonts w:ascii="Times New Roman" w:hAnsi="Times New Roman" w:cs="Times New Roman"/>
          <w:sz w:val="28"/>
          <w:szCs w:val="28"/>
        </w:rPr>
      </w:pPr>
      <w:r>
        <w:rPr>
          <w:rFonts w:cs="Times New Roman" w:ascii="Times New Roman" w:hAnsi="Times New Roman"/>
          <w:sz w:val="28"/>
          <w:szCs w:val="28"/>
        </w:rPr>
        <w:t xml:space="preserve">заседания рабочей группы по вопросам </w:t>
      </w:r>
    </w:p>
    <w:p>
      <w:pPr>
        <w:pStyle w:val="Normal"/>
        <w:jc w:val="right"/>
        <w:rPr>
          <w:rFonts w:ascii="Times New Roman" w:hAnsi="Times New Roman" w:cs="Times New Roman"/>
          <w:sz w:val="28"/>
          <w:szCs w:val="28"/>
        </w:rPr>
      </w:pPr>
      <w:r>
        <w:rPr>
          <w:rFonts w:cs="Times New Roman" w:ascii="Times New Roman" w:hAnsi="Times New Roman"/>
          <w:sz w:val="28"/>
          <w:szCs w:val="28"/>
        </w:rPr>
        <w:t>оценки эффективности</w:t>
      </w:r>
    </w:p>
    <w:p>
      <w:pPr>
        <w:pStyle w:val="Normal"/>
        <w:jc w:val="right"/>
        <w:rPr>
          <w:rFonts w:ascii="Times New Roman" w:hAnsi="Times New Roman" w:cs="Times New Roman"/>
          <w:sz w:val="28"/>
          <w:szCs w:val="28"/>
        </w:rPr>
      </w:pPr>
      <w:r>
        <w:rPr>
          <w:rFonts w:cs="Times New Roman" w:ascii="Times New Roman" w:hAnsi="Times New Roman"/>
          <w:sz w:val="28"/>
          <w:szCs w:val="28"/>
        </w:rPr>
        <w:t xml:space="preserve">функционирования антимонопольного </w:t>
      </w:r>
    </w:p>
    <w:p>
      <w:pPr>
        <w:pStyle w:val="Normal"/>
        <w:jc w:val="right"/>
        <w:rPr>
          <w:rFonts w:ascii="Times New Roman" w:hAnsi="Times New Roman" w:cs="Times New Roman"/>
          <w:sz w:val="28"/>
          <w:szCs w:val="28"/>
        </w:rPr>
      </w:pPr>
      <w:r>
        <w:rPr>
          <w:rFonts w:cs="Times New Roman" w:ascii="Times New Roman" w:hAnsi="Times New Roman"/>
          <w:sz w:val="28"/>
          <w:szCs w:val="28"/>
        </w:rPr>
        <w:t>комплаенса в администрации</w:t>
      </w:r>
    </w:p>
    <w:p>
      <w:pPr>
        <w:pStyle w:val="Normal"/>
        <w:jc w:val="right"/>
        <w:rPr>
          <w:rFonts w:ascii="Times New Roman" w:hAnsi="Times New Roman" w:cs="Times New Roman"/>
          <w:sz w:val="28"/>
          <w:szCs w:val="28"/>
        </w:rPr>
      </w:pPr>
      <w:r>
        <w:rPr>
          <w:rFonts w:cs="Times New Roman" w:ascii="Times New Roman" w:hAnsi="Times New Roman"/>
          <w:sz w:val="28"/>
          <w:szCs w:val="28"/>
        </w:rPr>
        <w:t>Чебулинского муниципального округа</w:t>
      </w:r>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 xml:space="preserve">Доклад </w:t>
      </w:r>
    </w:p>
    <w:p>
      <w:pPr>
        <w:pStyle w:val="Normal"/>
        <w:jc w:val="center"/>
        <w:rPr>
          <w:rFonts w:ascii="Times New Roman" w:hAnsi="Times New Roman" w:cs="Times New Roman"/>
          <w:b/>
          <w:sz w:val="28"/>
          <w:szCs w:val="28"/>
        </w:rPr>
      </w:pPr>
      <w:r>
        <w:rPr>
          <w:rFonts w:cs="Times New Roman" w:ascii="Times New Roman" w:hAnsi="Times New Roman"/>
          <w:b/>
          <w:sz w:val="28"/>
          <w:szCs w:val="28"/>
        </w:rPr>
        <w:t xml:space="preserve">об организации системы внутреннего обеспечения </w:t>
      </w:r>
    </w:p>
    <w:p>
      <w:pPr>
        <w:pStyle w:val="Normal"/>
        <w:jc w:val="center"/>
        <w:rPr>
          <w:rFonts w:ascii="Times New Roman" w:hAnsi="Times New Roman" w:cs="Times New Roman"/>
          <w:b/>
          <w:sz w:val="28"/>
          <w:szCs w:val="28"/>
        </w:rPr>
      </w:pPr>
      <w:r>
        <w:rPr>
          <w:rFonts w:cs="Times New Roman" w:ascii="Times New Roman" w:hAnsi="Times New Roman"/>
          <w:b/>
          <w:sz w:val="28"/>
          <w:szCs w:val="28"/>
        </w:rPr>
        <w:t>соответствия требованиям антимонопольного законодательства</w:t>
      </w:r>
    </w:p>
    <w:p>
      <w:pPr>
        <w:pStyle w:val="Normal"/>
        <w:jc w:val="center"/>
        <w:rPr>
          <w:rFonts w:ascii="Times New Roman" w:hAnsi="Times New Roman" w:cs="Times New Roman"/>
          <w:b/>
          <w:sz w:val="28"/>
          <w:szCs w:val="28"/>
        </w:rPr>
      </w:pPr>
      <w:r>
        <w:rPr>
          <w:rFonts w:cs="Times New Roman" w:ascii="Times New Roman" w:hAnsi="Times New Roman"/>
          <w:b/>
          <w:sz w:val="28"/>
          <w:szCs w:val="28"/>
        </w:rPr>
        <w:t>в администрации Чебулинского муниципального округа за 2025 год</w:t>
      </w:r>
    </w:p>
    <w:p>
      <w:pPr>
        <w:pStyle w:val="Normal"/>
        <w:jc w:val="center"/>
        <w:rPr/>
      </w:pPr>
      <w:r>
        <w:rPr/>
      </w:r>
    </w:p>
    <w:p>
      <w:pPr>
        <w:pStyle w:val="ListParagraph"/>
        <w:numPr>
          <w:ilvl w:val="0"/>
          <w:numId w:val="1"/>
        </w:numPr>
        <w:jc w:val="both"/>
        <w:rPr>
          <w:rFonts w:ascii="Times New Roman" w:hAnsi="Times New Roman" w:cs="Times New Roman"/>
          <w:b/>
          <w:sz w:val="28"/>
          <w:szCs w:val="28"/>
        </w:rPr>
      </w:pPr>
      <w:r>
        <w:rPr>
          <w:rFonts w:cs="Times New Roman" w:ascii="Times New Roman" w:hAnsi="Times New Roman"/>
          <w:b/>
          <w:sz w:val="28"/>
          <w:szCs w:val="28"/>
        </w:rPr>
        <w:t>Общие положения.</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Во исполнение Указа Президента Российской Федерации от 21.12.2017 № 618 «Об основных направлениях государственной политики по развитию конкуренции», руководствуясь распоряжением Правительства Российской Федерации от 18.10.2018 № 2258-р «Об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В 2025 году осуществлялись следующие мероприятия по внедрению системы внутреннего обеспечения соответствия требованиям антимонопольного законодательства (комплаенса):</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принято постановление администрации Чебулинского муниципального округа от 29.07.2022 № 513-п «Об организации системы внутреннего обеспечения соответствия требованиям антимонопольного законодательства (антимонопольный комплаенс) в администрации Чебулинского муниципального округа»;</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утверждено Положение об организации в администрации Чебулинского муниципального округа (постановление администрации Чебулинского муниципального округа от 29.07.2022 № 513-п);</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утверждены ключевые показатели эффективности функционирования антимонопольного комплаенса (постановление администрации Чебулинского муниципального округа от 29.07.2022 № 513-п);</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создана рабочая группа по вопросам оценки эффективности функционирования в администрации Чебулинского муниципального округа антимонопольного комплаенса и утвержден её состав. В рабочую группу входят руководители отраслевых (функциональных) органов администрации Чебулинского муниципального округа (постановление администрации Чебулинского муниципального округа от 29.07.2022 № 513-п с изменениями постановление администрации Чебулинского муниципального округа от 23.03.2023 № 132-п).</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Уполномоченным структурным подразделением, ответственным за внедрение и функционирование в администрации Чебулинского муниципального округа антимонопольного комплаенса, определен отдел экономики (далее - уполномоченное подразделение).</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В целях оценки рисков нарушения антимонопольного законодательства в деятельности администрации Чебулинского муниципального округа утверждена карта рисков (постановление администрации Чебулинского муниципального округа от 29.07.2022 № 513-п).</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В целях обеспечения открытости и доступности к информации:</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на официальном сайте администрации Чебулинского муниципального округа во вкладке «экономика» создан раздел «антимонопольный комплаенс». В разделе размещаются федеральные, региональные, муниципальные нормативные правовые акты, методические материалы и другая информация.</w:t>
      </w:r>
      <w:r>
        <w:rPr/>
        <w:t xml:space="preserve"> </w:t>
      </w:r>
      <w:r>
        <w:rPr>
          <w:color w:val="000000"/>
          <w:sz w:val="28"/>
          <w:szCs w:val="28"/>
        </w:rPr>
        <w:t>(https://chebula42.ru/r/119/)</w:t>
      </w:r>
    </w:p>
    <w:p>
      <w:pPr>
        <w:pStyle w:val="ListParagraph"/>
        <w:numPr>
          <w:ilvl w:val="0"/>
          <w:numId w:val="1"/>
        </w:numPr>
        <w:ind w:firstLine="426" w:left="-426"/>
        <w:jc w:val="both"/>
        <w:rPr>
          <w:rFonts w:ascii="Times New Roman" w:hAnsi="Times New Roman" w:cs="Times New Roman"/>
          <w:b/>
          <w:sz w:val="28"/>
          <w:szCs w:val="28"/>
        </w:rPr>
      </w:pPr>
      <w:r>
        <w:rPr>
          <w:rFonts w:cs="Times New Roman" w:ascii="Times New Roman" w:hAnsi="Times New Roman"/>
          <w:b/>
          <w:sz w:val="28"/>
          <w:szCs w:val="28"/>
        </w:rPr>
        <w:t>Информация о проведенных мероприятиях по внедрению антимонопольного комплаенса</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В целях выявления и оценки рисков нарушений антимонопольного законодательства уполномоченным структурным подразделением и отраслевыми (функциональными) органами проводится ряд мероприятий.</w:t>
      </w:r>
    </w:p>
    <w:p>
      <w:pPr>
        <w:pStyle w:val="ListParagraph"/>
        <w:numPr>
          <w:ilvl w:val="1"/>
          <w:numId w:val="1"/>
        </w:numPr>
        <w:ind w:firstLine="426" w:left="-426"/>
        <w:jc w:val="both"/>
        <w:rPr>
          <w:rFonts w:ascii="Times New Roman" w:hAnsi="Times New Roman" w:cs="Times New Roman"/>
          <w:b/>
          <w:sz w:val="28"/>
          <w:szCs w:val="28"/>
        </w:rPr>
      </w:pPr>
      <w:r>
        <w:rPr>
          <w:rFonts w:cs="Times New Roman" w:ascii="Times New Roman" w:hAnsi="Times New Roman"/>
          <w:b/>
          <w:sz w:val="28"/>
          <w:szCs w:val="28"/>
        </w:rPr>
        <w:t>Анализ проектов нормативно-правовых актов и действующих нормативных правовых актов администрации Чебулинского муниципального округа на предмет их соответствия законодательству.</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На официальном сайте администрации Чебулинского муниципального округа функционирует раздел «Оценка регулирующего воздействия», где размещается вся актуальная информация по реализации «Экспертизы нормативных правовых актов».</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В разделе «Экспертиза нормативных правовых актов» размещены проекты нормативных правовых актов, прошедших общественное обсуждение и правовую экспертизу, для сбора и проведения оценки поступивших от организаций и граждан замечаний и предложений. Публичные обсуждения являются действенным механизмом обратной связи для бизнеса, который позволяет определить позиции всех заинтересованных сторон, установить степень объективности количественных и качественных оценок.</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2025 году уполномоченным органом проведена 1 экспертиза проекта нормативно правового акта по итогам рассмотрения, которого подготовлено 1 заключение об отсутствии в рассмотренном проекте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Замечаний и предложений по данному проекту не поступало.</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В 2025 году уполномоченным органом проведены 4 экспертизы нормативно правовых актов по итогам рассмотрения, которых подготовлено 4 заключения об отсутствии в рассмотренных НПА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Замечаний и предложений по данным НПА не поступало.</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Структурным подразделениями администрации Чебулинского муниципального округа, отраслевыми (функциональными) органами администрации Чебулинского муниципального округа, проведен анализ нормативных правовых актов и проектов нормативных правовых актов, разработчиками которых они являлись. По результатам проведенного анализа установлено, что рассмотрение дел по вопросам применения и возможного нарушения структурными подразделениями и отраслевыми (функциональными) органами администрации Чебулинского муниципального округа норм антимонопольного законодательства в судебных инстанциях не осуществлялось. Нормативные правовые акты администрации Чебулинского муниципального округа, в которых УФАС России по Кемеровской области выявлены нарушения антимонопольного законодательства за последние три года, отсутствуют.</w:t>
      </w:r>
    </w:p>
    <w:p>
      <w:pPr>
        <w:pStyle w:val="ListParagraph"/>
        <w:numPr>
          <w:ilvl w:val="1"/>
          <w:numId w:val="1"/>
        </w:numPr>
        <w:ind w:firstLine="426" w:left="-426"/>
        <w:jc w:val="both"/>
        <w:rPr>
          <w:rFonts w:ascii="Times New Roman" w:hAnsi="Times New Roman" w:cs="Times New Roman"/>
          <w:b/>
          <w:sz w:val="28"/>
          <w:szCs w:val="28"/>
        </w:rPr>
      </w:pPr>
      <w:r>
        <w:rPr>
          <w:rFonts w:cs="Times New Roman" w:ascii="Times New Roman" w:hAnsi="Times New Roman"/>
          <w:b/>
          <w:sz w:val="28"/>
          <w:szCs w:val="28"/>
        </w:rPr>
        <w:t>Анализ выявленных нарушений антимонопольного законодательства в деятельности администрации Чебулинского муниципального округа и отраслевых (функциональных) органов администрации Чебулинского муниципального округа за предыдущие три года.</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За рассматриваемый период жалобы от юридических лиц и индивидуальных предпринимателей по вопросам применения и возможного нарушения антимонопольного законодательства администрации Чебулинского муниципального округа в УФАС России по Кемеровской области не поступали.</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Во исполнение пункта 7.4 Положения об организации системы внутреннего обеспечения соответствия требованиям антимонопольного законодательства в администрации Чебулинского муниципального округа уполномоченным структурным подразделением – отделом экономики проведен сбор и анализ информации о наличии нарушений антимонопольного законодательства в деятельности администрации Чебулинского муниципального округа и отраслевых (функциональных) органов администрации Чебулинского муниципального округа, за предыдущие три года.</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xml:space="preserve">По результатам проведенного анализа установлено следующее: </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нормативные правовые акты администрации, в которых УФАС России по Кемеровской области выявлены нарушения антимонопольного законодательства в указанный период, отсутствуют;</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рассмотрение дел по вопросам применения и возможного нарушения антимонопольного законодательства в судебных инстанциях в 2025 году не проводилось;</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xml:space="preserve">- за период 2022-2025 годы администрацией Чебулинского муниципального округа и отраслевыми (функциональными) органами администрации Чебулинского муниципального округа проведен анализ жалоб юридических лиц и индивидуальных предпринимателей по вопросам применения Федерального закона от 05.04.2013 № 44-ФЗ, информация по количеству обоснованных жалоб представлена в таблице: </w:t>
      </w:r>
    </w:p>
    <w:p>
      <w:pPr>
        <w:pStyle w:val="ListParagraph"/>
        <w:ind w:firstLine="426" w:left="-426"/>
        <w:jc w:val="both"/>
        <w:rPr>
          <w:rFonts w:ascii="Times New Roman" w:hAnsi="Times New Roman" w:cs="Times New Roman"/>
          <w:color w:val="FF0000"/>
          <w:sz w:val="28"/>
          <w:szCs w:val="28"/>
        </w:rPr>
      </w:pPr>
      <w:r>
        <w:rPr>
          <w:rFonts w:cs="Times New Roman" w:ascii="Times New Roman" w:hAnsi="Times New Roman"/>
          <w:color w:val="FF0000"/>
          <w:sz w:val="28"/>
          <w:szCs w:val="28"/>
        </w:rPr>
      </w:r>
    </w:p>
    <w:tbl>
      <w:tblPr>
        <w:tblStyle w:val="a4"/>
        <w:tblW w:w="9429" w:type="dxa"/>
        <w:jc w:val="left"/>
        <w:tblInd w:w="141" w:type="dxa"/>
        <w:tblLayout w:type="fixed"/>
        <w:tblCellMar>
          <w:top w:w="0" w:type="dxa"/>
          <w:left w:w="108" w:type="dxa"/>
          <w:bottom w:w="0" w:type="dxa"/>
          <w:right w:w="108" w:type="dxa"/>
        </w:tblCellMar>
        <w:tblLook w:noVBand="1" w:val="04a0" w:noHBand="0" w:lastColumn="0" w:firstColumn="1" w:lastRow="0" w:firstRow="1"/>
      </w:tblPr>
      <w:tblGrid>
        <w:gridCol w:w="675"/>
        <w:gridCol w:w="4535"/>
        <w:gridCol w:w="1134"/>
        <w:gridCol w:w="992"/>
        <w:gridCol w:w="1135"/>
        <w:gridCol w:w="957"/>
      </w:tblGrid>
      <w:tr>
        <w:trPr/>
        <w:tc>
          <w:tcPr>
            <w:tcW w:w="675" w:type="dxa"/>
            <w:vMerge w:val="restart"/>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w:t>
            </w:r>
          </w:p>
        </w:tc>
        <w:tc>
          <w:tcPr>
            <w:tcW w:w="4535" w:type="dxa"/>
            <w:vMerge w:val="restart"/>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наименование заказчика</w:t>
            </w:r>
          </w:p>
        </w:tc>
        <w:tc>
          <w:tcPr>
            <w:tcW w:w="4218" w:type="dxa"/>
            <w:gridSpan w:val="4"/>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количество жалоб</w:t>
            </w:r>
          </w:p>
        </w:tc>
      </w:tr>
      <w:tr>
        <w:trPr/>
        <w:tc>
          <w:tcPr>
            <w:tcW w:w="675" w:type="dxa"/>
            <w:vMerge w:val="continue"/>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cs="Times New Roman" w:ascii="Times New Roman" w:hAnsi="Times New Roman"/>
              </w:rPr>
            </w:r>
          </w:p>
        </w:tc>
        <w:tc>
          <w:tcPr>
            <w:tcW w:w="4535" w:type="dxa"/>
            <w:vMerge w:val="continue"/>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cs="Times New Roman" w:ascii="Times New Roman" w:hAnsi="Times New Roman"/>
              </w:rPr>
            </w:r>
          </w:p>
        </w:tc>
        <w:tc>
          <w:tcPr>
            <w:tcW w:w="1134" w:type="dxa"/>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2022</w:t>
            </w:r>
          </w:p>
        </w:tc>
        <w:tc>
          <w:tcPr>
            <w:tcW w:w="992" w:type="dxa"/>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2023</w:t>
            </w:r>
          </w:p>
        </w:tc>
        <w:tc>
          <w:tcPr>
            <w:tcW w:w="1135" w:type="dxa"/>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2024</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2025</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Территориальное управление по обеспечению жизнедеятельности Чебулинского муниципального округа</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2</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1135" w:type="dxa"/>
            <w:tcBorders/>
          </w:tcPr>
          <w:p>
            <w:pPr>
              <w:pStyle w:val="ListParagraph"/>
              <w:widowControl/>
              <w:suppressAutoHyphens w:val="true"/>
              <w:bidi w:val="0"/>
              <w:spacing w:before="0" w:after="0"/>
              <w:ind w:hanging="0" w:left="-113" w:right="-57"/>
              <w:contextualSpacing/>
              <w:jc w:val="center"/>
              <w:rPr>
                <w:rFonts w:ascii="Times New Roman" w:hAnsi="Times New Roman" w:cs="Times New Roman"/>
                <w:sz w:val="28"/>
                <w:szCs w:val="28"/>
              </w:rPr>
            </w:pPr>
            <w:r>
              <w:rPr>
                <w:rFonts w:cs="Times New Roman" w:ascii="Times New Roman" w:hAnsi="Times New Roman"/>
                <w:sz w:val="28"/>
                <w:szCs w:val="28"/>
              </w:rPr>
              <w:t xml:space="preserve">2     </w:t>
            </w:r>
            <w:r>
              <w:rPr>
                <w:rFonts w:cs="Times New Roman" w:ascii="Times New Roman" w:hAnsi="Times New Roman"/>
                <w:sz w:val="18"/>
                <w:szCs w:val="18"/>
              </w:rPr>
              <w:t>(отозваны)</w:t>
            </w:r>
          </w:p>
        </w:tc>
        <w:tc>
          <w:tcPr>
            <w:tcW w:w="957" w:type="dxa"/>
            <w:tcBorders/>
          </w:tcPr>
          <w:p>
            <w:pPr>
              <w:pStyle w:val="ListParagraph"/>
              <w:widowControl/>
              <w:suppressAutoHyphens w:val="true"/>
              <w:bidi w:val="0"/>
              <w:spacing w:before="0" w:after="0"/>
              <w:ind w:hanging="0" w:left="-113" w:right="-57"/>
              <w:contextualSpacing/>
              <w:jc w:val="center"/>
              <w:rPr>
                <w:rFonts w:ascii="Times New Roman" w:hAnsi="Times New Roman" w:cs="Times New Roman"/>
                <w:sz w:val="28"/>
                <w:szCs w:val="28"/>
              </w:rPr>
            </w:pPr>
            <w:r>
              <w:rPr>
                <w:rFonts w:cs="Times New Roman" w:ascii="Times New Roman" w:hAnsi="Times New Roman"/>
                <w:sz w:val="28"/>
                <w:szCs w:val="28"/>
              </w:rPr>
              <w:t>1</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Комитет по управлению муниципальным имуществом Чебулинского муниципального района</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1135"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Управление социальной защиты населения администрации Чебулинского муниципального округа</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1135"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МКУ «Комплексный центр социального обслуживания населения»</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1135"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Управление образования администрации Чебулинского муниципального округа</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1</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1135"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Управление культуры администрации Чебулинского муниципального округа</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1135"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1</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7</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Администрация Чебулинского муниципального округа</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1135"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r>
      <w:tr>
        <w:trPr/>
        <w:tc>
          <w:tcPr>
            <w:tcW w:w="675"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8</w:t>
            </w:r>
          </w:p>
        </w:tc>
        <w:tc>
          <w:tcPr>
            <w:tcW w:w="4535" w:type="dxa"/>
            <w:tcBorders/>
          </w:tcPr>
          <w:p>
            <w:pPr>
              <w:pStyle w:val="ListParagraph"/>
              <w:widowControl/>
              <w:suppressAutoHyphens w:val="true"/>
              <w:spacing w:before="0" w:after="0"/>
              <w:ind w:firstLine="283" w:left="34"/>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Финансовое управление Чебулинского округа</w:t>
            </w:r>
          </w:p>
        </w:tc>
        <w:tc>
          <w:tcPr>
            <w:tcW w:w="1134"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992" w:type="dxa"/>
            <w:tcBorders/>
          </w:tcPr>
          <w:p>
            <w:pPr>
              <w:pStyle w:val="ListParagraph"/>
              <w:widowControl/>
              <w:suppressAutoHyphens w:val="true"/>
              <w:spacing w:before="0" w:after="0"/>
              <w:ind w:firstLine="426" w:left="-426"/>
              <w:contextualSpacing/>
              <w:jc w:val="center"/>
              <w:rPr/>
            </w:pPr>
            <w:r>
              <w:rPr>
                <w:rFonts w:eastAsia="Calibri" w:cs="Times New Roman" w:ascii="Times New Roman" w:hAnsi="Times New Roman"/>
                <w:kern w:val="0"/>
                <w:sz w:val="28"/>
                <w:szCs w:val="28"/>
                <w:lang w:val="ru-RU" w:eastAsia="en-US" w:bidi="ar-SA"/>
              </w:rPr>
              <w:t>0</w:t>
            </w:r>
          </w:p>
        </w:tc>
        <w:tc>
          <w:tcPr>
            <w:tcW w:w="1135"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c>
          <w:tcPr>
            <w:tcW w:w="957" w:type="dxa"/>
            <w:tcBorders/>
          </w:tcPr>
          <w:p>
            <w:pPr>
              <w:pStyle w:val="ListParagraph"/>
              <w:widowControl/>
              <w:suppressAutoHyphens w:val="true"/>
              <w:spacing w:before="0" w:after="0"/>
              <w:ind w:firstLine="426" w:left="-426"/>
              <w:contextualSpacing/>
              <w:jc w:val="center"/>
              <w:rPr>
                <w:rFonts w:ascii="Times New Roman" w:hAnsi="Times New Roman" w:cs="Times New Roman"/>
                <w:sz w:val="28"/>
                <w:szCs w:val="28"/>
              </w:rPr>
            </w:pPr>
            <w:r>
              <w:rPr>
                <w:rFonts w:cs="Times New Roman" w:ascii="Times New Roman" w:hAnsi="Times New Roman"/>
                <w:sz w:val="28"/>
                <w:szCs w:val="28"/>
              </w:rPr>
              <w:t>0</w:t>
            </w:r>
          </w:p>
        </w:tc>
      </w:tr>
    </w:tbl>
    <w:p>
      <w:pPr>
        <w:pStyle w:val="ListParagraph"/>
        <w:ind w:firstLine="426" w:left="-426"/>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ListParagraph"/>
        <w:ind w:firstLine="426" w:left="-426"/>
        <w:jc w:val="both"/>
        <w:rPr>
          <w:color w:val="000000"/>
        </w:rPr>
      </w:pPr>
      <w:r>
        <w:rPr>
          <w:rFonts w:cs="Times New Roman" w:ascii="Times New Roman" w:hAnsi="Times New Roman"/>
          <w:color w:val="000000"/>
          <w:sz w:val="28"/>
          <w:szCs w:val="28"/>
        </w:rPr>
        <w:t>За 202</w:t>
      </w:r>
      <w:r>
        <w:rPr>
          <w:rFonts w:cs="Times New Roman" w:ascii="Times New Roman" w:hAnsi="Times New Roman"/>
          <w:color w:val="000000"/>
          <w:sz w:val="28"/>
          <w:szCs w:val="28"/>
        </w:rPr>
        <w:t>5</w:t>
      </w:r>
      <w:r>
        <w:rPr>
          <w:rFonts w:cs="Times New Roman" w:ascii="Times New Roman" w:hAnsi="Times New Roman"/>
          <w:color w:val="000000"/>
          <w:sz w:val="28"/>
          <w:szCs w:val="28"/>
        </w:rPr>
        <w:t xml:space="preserve"> год поступали 2 жалобы в Управление Федеральной антимонопольной службы по Кемеровской области. </w:t>
      </w:r>
      <w:r>
        <w:rPr>
          <w:rFonts w:cs="Times New Roman" w:ascii="Times New Roman" w:hAnsi="Times New Roman"/>
          <w:color w:val="000000"/>
          <w:sz w:val="28"/>
          <w:szCs w:val="28"/>
        </w:rPr>
        <w:t>1 жалоба находится на рассмотрении</w:t>
      </w:r>
      <w:r>
        <w:rPr>
          <w:rFonts w:cs="Times New Roman" w:ascii="Times New Roman" w:hAnsi="Times New Roman"/>
          <w:color w:val="000000"/>
          <w:sz w:val="28"/>
          <w:szCs w:val="28"/>
        </w:rPr>
        <w:t xml:space="preserve"> и </w:t>
      </w:r>
      <w:r>
        <w:rPr>
          <w:rFonts w:cs="Times New Roman" w:ascii="Times New Roman" w:hAnsi="Times New Roman"/>
          <w:color w:val="000000"/>
          <w:sz w:val="28"/>
          <w:szCs w:val="28"/>
        </w:rPr>
        <w:t xml:space="preserve">1 жалоба рассмотрена на муниципальном уровне и признана необоснованной. </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По результатам мониторинга и анализа практики применения антимонопольными органами антимонопольного законодательства, нарушений в деятельности администрации Чебулинского муниципального округа не выявлено.</w:t>
      </w:r>
    </w:p>
    <w:p>
      <w:pPr>
        <w:pStyle w:val="ListParagraph"/>
        <w:numPr>
          <w:ilvl w:val="1"/>
          <w:numId w:val="1"/>
        </w:numPr>
        <w:ind w:firstLine="426" w:left="-426"/>
        <w:jc w:val="both"/>
        <w:rPr>
          <w:rFonts w:ascii="Times New Roman" w:hAnsi="Times New Roman" w:cs="Times New Roman"/>
          <w:b/>
          <w:sz w:val="28"/>
          <w:szCs w:val="28"/>
        </w:rPr>
      </w:pPr>
      <w:r>
        <w:rPr>
          <w:rFonts w:cs="Times New Roman" w:ascii="Times New Roman" w:hAnsi="Times New Roman"/>
          <w:b/>
          <w:sz w:val="28"/>
          <w:szCs w:val="28"/>
        </w:rPr>
        <w:t>Мероприятия по снижению рисков нарушения антимонопольного законодательства.</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xml:space="preserve">В рамках снижения рисков нарушения антимонопольного законодательства. Сектор по кадрам и муниципальной службе администрации Чебулинского муниципального округа проводит ознакомление всех муниципальных служащих администрации Чебулинского муниципального округа, а также граждан, поступивших на муниципальную службу в администрации Чебулинского муниципального округа, с «Положением об организации в администрации Чебулинского муниципального округа системы внутреннего обеспечения соответствия требованиям антимонопольного законодательства», утвержденным постановлением администрации Чебулинского муниципального округа от    №   -п «Об организации в администрации Чебулинского муниципального округа системы внутреннего обеспечения соответствия требованиям антимонопольного законодательства». Дальнейшая работа по ознакомлению граждан, поступающих на муниципальную службу администрации Чебулинского муниципального округа, будет проводиться на постоянной основе. </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Кадровые службы отраслевых (функциональных) органов администрации Чебулинского муниципального округа, муниципальных казенных и бюджетных учреждений проводят ознакомление граждан, работающих и поступающих на работу, с «Положением об организации в администрации Чебулинского муниципального округа системы внутреннего обеспечения соответствия требованиям антимонопольного законодательства».</w:t>
      </w:r>
    </w:p>
    <w:p>
      <w:pPr>
        <w:pStyle w:val="ListParagraph"/>
        <w:numPr>
          <w:ilvl w:val="1"/>
          <w:numId w:val="1"/>
        </w:numPr>
        <w:ind w:firstLine="426" w:left="-426"/>
        <w:jc w:val="both"/>
        <w:rPr>
          <w:rFonts w:ascii="Times New Roman" w:hAnsi="Times New Roman" w:cs="Times New Roman"/>
          <w:b/>
          <w:sz w:val="28"/>
          <w:szCs w:val="28"/>
        </w:rPr>
      </w:pPr>
      <w:r>
        <w:rPr>
          <w:rFonts w:cs="Times New Roman" w:ascii="Times New Roman" w:hAnsi="Times New Roman"/>
          <w:b/>
          <w:sz w:val="28"/>
          <w:szCs w:val="28"/>
        </w:rPr>
        <w:t xml:space="preserve">Проведение оценки эффективности разработанных и реализуемых мероприятий по снижению рисков нарушения антимонопольного законодательства </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xml:space="preserve">В рамках оценки эффективности антимонопольного комплаенса проведена оценка достижения следующих ключевых показателей эффективности функционирования антимонопольного комплаенса в соответствии с утвержденной методикой: </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color w:val="000000"/>
          <w:sz w:val="28"/>
          <w:szCs w:val="28"/>
        </w:rPr>
        <w:t xml:space="preserve">коэффициент снижения количества нарушений антимонопольного законодательства по сравнению с 2022 годом равен 0 (в 2022 году нарушений антимонопольного законодательства со стороны администрации Чебулинского муниципального округа </w:t>
      </w:r>
      <w:r>
        <w:rPr>
          <w:rFonts w:cs="Times New Roman" w:ascii="Times New Roman" w:hAnsi="Times New Roman"/>
          <w:color w:val="000000"/>
          <w:sz w:val="28"/>
          <w:szCs w:val="28"/>
        </w:rPr>
        <w:t xml:space="preserve">не </w:t>
      </w:r>
      <w:r>
        <w:rPr>
          <w:rFonts w:cs="Times New Roman" w:ascii="Times New Roman" w:hAnsi="Times New Roman"/>
          <w:color w:val="000000"/>
          <w:sz w:val="28"/>
          <w:szCs w:val="28"/>
        </w:rPr>
        <w:t>выявлено, в 2025 году нарушен</w:t>
      </w:r>
      <w:r>
        <w:rPr>
          <w:rFonts w:cs="Times New Roman" w:ascii="Times New Roman" w:hAnsi="Times New Roman"/>
          <w:color w:val="000000"/>
          <w:sz w:val="28"/>
          <w:szCs w:val="28"/>
        </w:rPr>
        <w:t xml:space="preserve">ий антимонопольного законодательства со стороны администрации Чебулинского муниципального округа выявлено не было). </w:t>
      </w:r>
      <w:r>
        <w:rPr>
          <w:rFonts w:cs="Times New Roman" w:ascii="Times New Roman" w:hAnsi="Times New Roman"/>
          <w:color w:val="000000"/>
          <w:sz w:val="28"/>
          <w:szCs w:val="28"/>
        </w:rPr>
        <w:t>По отраслевым (функциональным) органам коэффициент снижения количества нарушений антимонопольного законодательства по сравнению с 202</w:t>
      </w:r>
      <w:r>
        <w:rPr>
          <w:rFonts w:cs="Times New Roman" w:ascii="Times New Roman" w:hAnsi="Times New Roman"/>
          <w:color w:val="000000"/>
          <w:sz w:val="28"/>
          <w:szCs w:val="28"/>
        </w:rPr>
        <w:t>2</w:t>
      </w:r>
      <w:r>
        <w:rPr>
          <w:rFonts w:cs="Times New Roman" w:ascii="Times New Roman" w:hAnsi="Times New Roman"/>
          <w:color w:val="000000"/>
          <w:sz w:val="28"/>
          <w:szCs w:val="28"/>
        </w:rPr>
        <w:t xml:space="preserve"> годом равен 0. </w:t>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r>
    </w:p>
    <w:p>
      <w:pPr>
        <w:pStyle w:val="ListParagraph"/>
        <w:ind w:firstLine="426" w:left="-426"/>
        <w:jc w:val="center"/>
        <w:rPr>
          <w:rFonts w:ascii="Times New Roman" w:hAnsi="Times New Roman" w:cs="Times New Roman"/>
          <w:sz w:val="28"/>
          <w:szCs w:val="28"/>
        </w:rPr>
      </w:pPr>
      <w:r>
        <w:rPr>
          <w:rFonts w:cs="Times New Roman" w:ascii="Times New Roman" w:hAnsi="Times New Roman"/>
          <w:sz w:val="28"/>
          <w:szCs w:val="28"/>
        </w:rPr>
        <w:t>Уровни рисков</w:t>
      </w:r>
    </w:p>
    <w:p>
      <w:pPr>
        <w:pStyle w:val="ListParagraph"/>
        <w:ind w:firstLine="426" w:left="-426"/>
        <w:jc w:val="center"/>
        <w:rPr>
          <w:rFonts w:ascii="Times New Roman" w:hAnsi="Times New Roman" w:cs="Times New Roman"/>
          <w:sz w:val="28"/>
          <w:szCs w:val="28"/>
        </w:rPr>
      </w:pPr>
      <w:r>
        <w:rPr>
          <w:rFonts w:cs="Times New Roman" w:ascii="Times New Roman" w:hAnsi="Times New Roman"/>
          <w:sz w:val="28"/>
          <w:szCs w:val="28"/>
        </w:rPr>
      </w:r>
    </w:p>
    <w:tbl>
      <w:tblPr>
        <w:tblStyle w:val="a4"/>
        <w:tblW w:w="957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669"/>
        <w:gridCol w:w="4542"/>
        <w:gridCol w:w="4360"/>
      </w:tblGrid>
      <w:tr>
        <w:trPr/>
        <w:tc>
          <w:tcPr>
            <w:tcW w:w="669" w:type="dxa"/>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w:t>
            </w:r>
          </w:p>
        </w:tc>
        <w:tc>
          <w:tcPr>
            <w:tcW w:w="4542" w:type="dxa"/>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наименование заказчика</w:t>
            </w:r>
          </w:p>
        </w:tc>
        <w:tc>
          <w:tcPr>
            <w:tcW w:w="4360" w:type="dxa"/>
            <w:tcBorders/>
          </w:tcPr>
          <w:p>
            <w:pPr>
              <w:pStyle w:val="ListParagraph"/>
              <w:widowControl/>
              <w:suppressAutoHyphens w:val="true"/>
              <w:spacing w:before="0" w:after="0"/>
              <w:ind w:firstLine="426" w:left="-426"/>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уровень риска</w:t>
            </w:r>
          </w:p>
        </w:tc>
      </w:tr>
      <w:tr>
        <w:trPr/>
        <w:tc>
          <w:tcPr>
            <w:tcW w:w="669"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4542" w:type="dxa"/>
            <w:tcBorders/>
          </w:tcPr>
          <w:p>
            <w:pPr>
              <w:pStyle w:val="ListParagraph"/>
              <w:widowControl/>
              <w:suppressAutoHyphens w:val="true"/>
              <w:spacing w:before="0" w:after="0"/>
              <w:ind w:firstLine="176" w:left="0"/>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Территориальное управление по обеспечению жизнедеятельности Чебулинского муниципального округа</w:t>
            </w:r>
          </w:p>
        </w:tc>
        <w:tc>
          <w:tcPr>
            <w:tcW w:w="4360" w:type="dxa"/>
            <w:tcBorders/>
          </w:tcPr>
          <w:p>
            <w:pPr>
              <w:pStyle w:val="ListParagraph"/>
              <w:widowControl/>
              <w:suppressAutoHyphens w:val="true"/>
              <w:spacing w:before="0" w:after="0"/>
              <w:ind w:firstLine="284" w:left="34" w:right="-1"/>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Низкий уровень – выдачи предупреждения, возбуждения дела о нарушении антимонопольного законодательства, наложения штрафа отсутствует</w:t>
            </w:r>
          </w:p>
        </w:tc>
      </w:tr>
      <w:tr>
        <w:trPr/>
        <w:tc>
          <w:tcPr>
            <w:tcW w:w="669"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4542" w:type="dxa"/>
            <w:tcBorders/>
          </w:tcPr>
          <w:p>
            <w:pPr>
              <w:pStyle w:val="ListParagraph"/>
              <w:widowControl/>
              <w:suppressAutoHyphens w:val="true"/>
              <w:spacing w:before="0" w:after="0"/>
              <w:ind w:firstLine="176" w:left="0"/>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Комитет по управлению муниципальным имуществом Чебулинского муниципального района</w:t>
            </w:r>
          </w:p>
        </w:tc>
        <w:tc>
          <w:tcPr>
            <w:tcW w:w="4360" w:type="dxa"/>
            <w:tcBorders/>
          </w:tcPr>
          <w:p>
            <w:pPr>
              <w:pStyle w:val="ListParagraph"/>
              <w:widowControl/>
              <w:suppressAutoHyphens w:val="true"/>
              <w:spacing w:before="0" w:after="0"/>
              <w:ind w:firstLine="284" w:left="34" w:right="-1"/>
              <w:contextualSpacing/>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Низкий уровень – выдачи предупреждения, возбуждения дела о нарушении антимонопольного законодательства, наложения штрафа отсутствует</w:t>
            </w:r>
          </w:p>
        </w:tc>
      </w:tr>
      <w:tr>
        <w:trPr/>
        <w:tc>
          <w:tcPr>
            <w:tcW w:w="669"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4542" w:type="dxa"/>
            <w:tcBorders/>
          </w:tcPr>
          <w:p>
            <w:pPr>
              <w:pStyle w:val="ListParagraph"/>
              <w:widowControl/>
              <w:suppressAutoHyphens w:val="true"/>
              <w:spacing w:before="0" w:after="0"/>
              <w:ind w:firstLine="176" w:left="0"/>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Управление социальной защиты населения администрации Чебулинского муниципального округа</w:t>
            </w:r>
          </w:p>
        </w:tc>
        <w:tc>
          <w:tcPr>
            <w:tcW w:w="4360" w:type="dxa"/>
            <w:tcBorders/>
          </w:tcPr>
          <w:p>
            <w:pPr>
              <w:pStyle w:val="Normal"/>
              <w:widowControl/>
              <w:suppressAutoHyphens w:val="true"/>
              <w:spacing w:before="0" w:after="0"/>
              <w:ind w:firstLine="284" w:left="34" w:right="-1"/>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Низкий уровень – выдачи предупреждения, возбуждения дела о нарушении антимонопольного законодательства, наложения штрафа отсутствует</w:t>
            </w:r>
          </w:p>
        </w:tc>
      </w:tr>
      <w:tr>
        <w:trPr/>
        <w:tc>
          <w:tcPr>
            <w:tcW w:w="669"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4542" w:type="dxa"/>
            <w:tcBorders/>
          </w:tcPr>
          <w:p>
            <w:pPr>
              <w:pStyle w:val="ListParagraph"/>
              <w:widowControl/>
              <w:suppressAutoHyphens w:val="true"/>
              <w:spacing w:before="0" w:after="0"/>
              <w:ind w:firstLine="176" w:left="0"/>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Управление образования администрации Чебулинского муниципального округа</w:t>
            </w:r>
          </w:p>
        </w:tc>
        <w:tc>
          <w:tcPr>
            <w:tcW w:w="4360" w:type="dxa"/>
            <w:tcBorders/>
          </w:tcPr>
          <w:p>
            <w:pPr>
              <w:pStyle w:val="Normal"/>
              <w:widowControl/>
              <w:suppressAutoHyphens w:val="true"/>
              <w:spacing w:before="0" w:after="0"/>
              <w:ind w:firstLine="284" w:left="34" w:right="-1"/>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Низкий уровень – выдачи предупреждения, возбуждения дела о нарушении антимонопольного законодательства, наложения штрафа отсутствует</w:t>
            </w:r>
          </w:p>
        </w:tc>
      </w:tr>
      <w:tr>
        <w:trPr/>
        <w:tc>
          <w:tcPr>
            <w:tcW w:w="669"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4542" w:type="dxa"/>
            <w:tcBorders/>
          </w:tcPr>
          <w:p>
            <w:pPr>
              <w:pStyle w:val="ListParagraph"/>
              <w:widowControl/>
              <w:suppressAutoHyphens w:val="true"/>
              <w:spacing w:before="0" w:after="0"/>
              <w:ind w:firstLine="176" w:left="0"/>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Управление культуры администрации Чебулинского муниципального округа</w:t>
            </w:r>
          </w:p>
        </w:tc>
        <w:tc>
          <w:tcPr>
            <w:tcW w:w="4360" w:type="dxa"/>
            <w:tcBorders/>
          </w:tcPr>
          <w:p>
            <w:pPr>
              <w:pStyle w:val="Normal"/>
              <w:widowControl/>
              <w:suppressAutoHyphens w:val="true"/>
              <w:spacing w:before="0" w:after="0"/>
              <w:ind w:firstLine="284" w:left="34" w:right="-1"/>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Низкий уровень – выдачи предупреждения, возбуждения дела о нарушении антимонопольного законодательства, наложения штрафа отсутствует</w:t>
            </w:r>
          </w:p>
        </w:tc>
      </w:tr>
      <w:tr>
        <w:trPr/>
        <w:tc>
          <w:tcPr>
            <w:tcW w:w="669"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4542" w:type="dxa"/>
            <w:tcBorders/>
          </w:tcPr>
          <w:p>
            <w:pPr>
              <w:pStyle w:val="ListParagraph"/>
              <w:widowControl/>
              <w:suppressAutoHyphens w:val="true"/>
              <w:spacing w:before="0" w:after="0"/>
              <w:ind w:firstLine="176" w:left="0"/>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Администрация Чебулинского муниципального округа</w:t>
            </w:r>
          </w:p>
        </w:tc>
        <w:tc>
          <w:tcPr>
            <w:tcW w:w="4360" w:type="dxa"/>
            <w:tcBorders/>
          </w:tcPr>
          <w:p>
            <w:pPr>
              <w:pStyle w:val="Normal"/>
              <w:widowControl/>
              <w:suppressAutoHyphens w:val="true"/>
              <w:spacing w:before="0" w:after="0"/>
              <w:ind w:firstLine="284" w:left="34" w:right="-1"/>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Низкий уровень – выдачи предупреждения, возбуждения дела о нарушении антимонопольного законодательства, наложения штрафа отсутствует</w:t>
            </w:r>
          </w:p>
        </w:tc>
      </w:tr>
      <w:tr>
        <w:trPr/>
        <w:tc>
          <w:tcPr>
            <w:tcW w:w="669" w:type="dxa"/>
            <w:tcBorders/>
          </w:tcPr>
          <w:p>
            <w:pPr>
              <w:pStyle w:val="ListParagraph"/>
              <w:widowControl/>
              <w:suppressAutoHyphens w:val="true"/>
              <w:spacing w:before="0" w:after="0"/>
              <w:ind w:firstLine="426" w:left="-426"/>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7</w:t>
            </w:r>
          </w:p>
        </w:tc>
        <w:tc>
          <w:tcPr>
            <w:tcW w:w="4542" w:type="dxa"/>
            <w:tcBorders/>
          </w:tcPr>
          <w:p>
            <w:pPr>
              <w:pStyle w:val="ListParagraph"/>
              <w:widowControl/>
              <w:suppressAutoHyphens w:val="true"/>
              <w:spacing w:before="0" w:after="0"/>
              <w:ind w:firstLine="176" w:left="0"/>
              <w:contextualSpacing/>
              <w:jc w:val="both"/>
              <w:rPr>
                <w:rFonts w:ascii="Times New Roman" w:hAnsi="Times New Roman" w:cs="Times New Roman"/>
              </w:rPr>
            </w:pPr>
            <w:r>
              <w:rPr>
                <w:rFonts w:eastAsia="Calibri" w:cs="Times New Roman" w:ascii="Times New Roman" w:hAnsi="Times New Roman"/>
                <w:kern w:val="0"/>
                <w:sz w:val="22"/>
                <w:szCs w:val="22"/>
                <w:lang w:val="ru-RU" w:eastAsia="en-US" w:bidi="ar-SA"/>
              </w:rPr>
              <w:t>Финансовое управление Чебулинского округа</w:t>
            </w:r>
          </w:p>
        </w:tc>
        <w:tc>
          <w:tcPr>
            <w:tcW w:w="4360" w:type="dxa"/>
            <w:tcBorders/>
          </w:tcPr>
          <w:p>
            <w:pPr>
              <w:pStyle w:val="Normal"/>
              <w:widowControl/>
              <w:suppressAutoHyphens w:val="true"/>
              <w:spacing w:before="0" w:after="0"/>
              <w:ind w:firstLine="284" w:left="34" w:right="-1"/>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Низкий уровень – выдачи предупреждения, возбуждения дела о нарушении антимонопольного законодательства, наложения штрафа отсутствует</w:t>
            </w:r>
          </w:p>
        </w:tc>
      </w:tr>
    </w:tbl>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r>
    </w:p>
    <w:p>
      <w:pPr>
        <w:pStyle w:val="ListParagraph"/>
        <w:ind w:firstLine="426" w:left="-426"/>
        <w:jc w:val="both"/>
        <w:rPr>
          <w:rFonts w:ascii="Times New Roman" w:hAnsi="Times New Roman" w:cs="Times New Roman"/>
          <w:sz w:val="28"/>
          <w:szCs w:val="28"/>
        </w:rPr>
      </w:pPr>
      <w:r>
        <w:rPr>
          <w:rFonts w:cs="Times New Roman" w:ascii="Times New Roman" w:hAnsi="Times New Roman"/>
          <w:sz w:val="28"/>
          <w:szCs w:val="28"/>
        </w:rPr>
        <w:t>- доля нормативных правовых актов администрации Чебулинского муниципального округа, в которых выявлены риски нарушения антимонопольного законодательства, равна 0 (нормативные правовые акты администрации Чебулинского муниципального округа, в которых выявлены риски нарушения антимонопольного законодательства (в отчетном периоде), отсутствовали; нормативные правовые акты администрации Чебулинского муниципального округа, в которых антимонопольным органом выявлены нарушения антимонопольного законодательства (в отчетном периоде), отсутствовали).</w:t>
      </w:r>
    </w:p>
    <w:p>
      <w:pPr>
        <w:pStyle w:val="ListParagraph"/>
        <w:ind w:firstLine="426" w:left="-426"/>
        <w:jc w:val="center"/>
        <w:rPr>
          <w:rFonts w:ascii="Times New Roman" w:hAnsi="Times New Roman" w:cs="Times New Roman"/>
          <w:b/>
          <w:sz w:val="28"/>
          <w:szCs w:val="28"/>
        </w:rPr>
      </w:pPr>
      <w:r>
        <w:rPr>
          <w:rFonts w:cs="Times New Roman" w:ascii="Times New Roman" w:hAnsi="Times New Roman"/>
          <w:b/>
          <w:sz w:val="28"/>
          <w:szCs w:val="28"/>
        </w:rPr>
        <w:t>Выводы:</w:t>
      </w:r>
    </w:p>
    <w:p>
      <w:pPr>
        <w:pStyle w:val="ListParagraph"/>
        <w:ind w:firstLine="426" w:left="-426"/>
        <w:jc w:val="both"/>
        <w:rPr>
          <w:rFonts w:ascii="Times New Roman" w:hAnsi="Times New Roman" w:cs="Times New Roman"/>
          <w:sz w:val="28"/>
          <w:szCs w:val="28"/>
        </w:rPr>
      </w:pPr>
      <w:bookmarkStart w:id="0" w:name="_GoBack"/>
      <w:bookmarkEnd w:id="0"/>
      <w:r>
        <w:rPr>
          <w:rFonts w:cs="Times New Roman" w:ascii="Times New Roman" w:hAnsi="Times New Roman"/>
          <w:sz w:val="28"/>
          <w:szCs w:val="28"/>
        </w:rPr>
        <w:t xml:space="preserve">Таким образом, в 2025 году в администрации Чебулинского муниципального округа и в отраслевых (функциональных) органов администрации Чебулинского муниципального округа успешно внедрена система внутреннего обеспечения соответствия требованиям антимонопольного законодательства, по результатам работы подготовлен настоящий Доклад, который подлежит размещению на официальном сайте администрации Чебулинского муниципального округа.  </w:t>
      </w:r>
    </w:p>
    <w:p>
      <w:pPr>
        <w:pStyle w:val="ListParagraph"/>
        <w:ind w:firstLine="426" w:left="-426"/>
        <w:jc w:val="center"/>
        <w:rPr>
          <w:rFonts w:ascii="Times New Roman" w:hAnsi="Times New Roman" w:cs="Times New Roman"/>
          <w:sz w:val="28"/>
          <w:szCs w:val="28"/>
        </w:rPr>
      </w:pPr>
      <w:r>
        <w:rPr>
          <w:rFonts w:cs="Times New Roman" w:ascii="Times New Roman" w:hAnsi="Times New Roman"/>
          <w:sz w:val="28"/>
          <w:szCs w:val="28"/>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95" w:hanging="360"/>
      </w:pPr>
      <w:rPr/>
    </w:lvl>
    <w:lvl w:ilvl="1">
      <w:start w:val="1"/>
      <w:numFmt w:val="decimal"/>
      <w:lvlText w:val="%1.%2."/>
      <w:lvlJc w:val="left"/>
      <w:pPr>
        <w:tabs>
          <w:tab w:val="num" w:pos="0"/>
        </w:tabs>
        <w:ind w:left="1855" w:hanging="720"/>
      </w:pPr>
      <w:rPr/>
    </w:lvl>
    <w:lvl w:ilvl="2">
      <w:start w:val="1"/>
      <w:numFmt w:val="decimal"/>
      <w:lvlText w:val="%1.%2.%3."/>
      <w:lvlJc w:val="left"/>
      <w:pPr>
        <w:tabs>
          <w:tab w:val="num" w:pos="0"/>
        </w:tabs>
        <w:ind w:left="1855" w:hanging="720"/>
      </w:pPr>
      <w:rPr/>
    </w:lvl>
    <w:lvl w:ilvl="3">
      <w:start w:val="1"/>
      <w:numFmt w:val="decimal"/>
      <w:lvlText w:val="%1.%2.%3.%4."/>
      <w:lvlJc w:val="left"/>
      <w:pPr>
        <w:tabs>
          <w:tab w:val="num" w:pos="0"/>
        </w:tabs>
        <w:ind w:left="2215" w:hanging="1080"/>
      </w:pPr>
      <w:rPr/>
    </w:lvl>
    <w:lvl w:ilvl="4">
      <w:start w:val="1"/>
      <w:numFmt w:val="decimal"/>
      <w:lvlText w:val="%1.%2.%3.%4.%5."/>
      <w:lvlJc w:val="left"/>
      <w:pPr>
        <w:tabs>
          <w:tab w:val="num" w:pos="0"/>
        </w:tabs>
        <w:ind w:left="2215" w:hanging="1080"/>
      </w:pPr>
      <w:rPr/>
    </w:lvl>
    <w:lvl w:ilvl="5">
      <w:start w:val="1"/>
      <w:numFmt w:val="decimal"/>
      <w:lvlText w:val="%1.%2.%3.%4.%5.%6."/>
      <w:lvlJc w:val="left"/>
      <w:pPr>
        <w:tabs>
          <w:tab w:val="num" w:pos="0"/>
        </w:tabs>
        <w:ind w:left="2575" w:hanging="1440"/>
      </w:pPr>
      <w:rPr/>
    </w:lvl>
    <w:lvl w:ilvl="6">
      <w:start w:val="1"/>
      <w:numFmt w:val="decimal"/>
      <w:lvlText w:val="%1.%2.%3.%4.%5.%6.%7."/>
      <w:lvlJc w:val="left"/>
      <w:pPr>
        <w:tabs>
          <w:tab w:val="num" w:pos="0"/>
        </w:tabs>
        <w:ind w:left="2935" w:hanging="1800"/>
      </w:pPr>
      <w:rPr/>
    </w:lvl>
    <w:lvl w:ilvl="7">
      <w:start w:val="1"/>
      <w:numFmt w:val="decimal"/>
      <w:lvlText w:val="%1.%2.%3.%4.%5.%6.%7.%8."/>
      <w:lvlJc w:val="left"/>
      <w:pPr>
        <w:tabs>
          <w:tab w:val="num" w:pos="0"/>
        </w:tabs>
        <w:ind w:left="2935" w:hanging="1800"/>
      </w:pPr>
      <w:rPr/>
    </w:lvl>
    <w:lvl w:ilvl="8">
      <w:start w:val="1"/>
      <w:numFmt w:val="decimal"/>
      <w:lvlText w:val="%1.%2.%3.%4.%5.%6.%7.%8.%9."/>
      <w:lvlJc w:val="left"/>
      <w:pPr>
        <w:tabs>
          <w:tab w:val="num" w:pos="0"/>
        </w:tabs>
        <w:ind w:left="3295"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9595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rsid w:val="007a767f"/>
    <w:pPr>
      <w:spacing w:before="0" w:after="0"/>
      <w:ind w:left="720"/>
      <w:contextualSpacing/>
    </w:pPr>
    <w:rPr/>
  </w:style>
  <w:style w:type="paragraph" w:styleId="Style16">
    <w:name w:val="Содержимое таблицы"/>
    <w:basedOn w:val="Normal"/>
    <w:qFormat/>
    <w:pPr>
      <w:widowControl w:val="false"/>
      <w:suppressLineNumbers/>
    </w:pPr>
    <w:rPr/>
  </w:style>
  <w:style w:type="paragraph" w:styleId="Style17">
    <w:name w:val="Заголовок таблицы"/>
    <w:basedOn w:val="Style16"/>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b4194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D0B9D-CA29-4B65-874D-2954CD97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Application>LibreOffice/7.6.7.2$Linux_X86_64 LibreOffice_project/60$Build-2</Application>
  <AppVersion>15.0000</AppVersion>
  <Pages>6</Pages>
  <Words>1457</Words>
  <Characters>12199</Characters>
  <CharactersWithSpaces>13554</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2024-01-24T04:27:00Z</dcterms:created>
  <dc:creator>Nach-Ekonom</dc:creator>
  <dc:description/>
  <dc:language>ru-RU</dc:language>
  <cp:lastModifiedBy/>
  <cp:lastPrinted>2026-02-17T08:53:41Z</cp:lastPrinted>
  <dcterms:modified xsi:type="dcterms:W3CDTF">2026-02-17T08:53:37Z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