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rPr>
      </w:pPr>
      <w:r>
        <w:rPr>
          <w:b/>
        </w:rPr>
        <w:t>ИЗВЕЩЕНИЕ</w:t>
      </w:r>
    </w:p>
    <w:p>
      <w:pPr>
        <w:pStyle w:val="Normal"/>
        <w:jc w:val="center"/>
        <w:rPr>
          <w:b/>
          <w:sz w:val="28"/>
          <w:szCs w:val="28"/>
        </w:rPr>
      </w:pPr>
      <w:r>
        <w:rPr>
          <w:b/>
        </w:rPr>
        <w:t xml:space="preserve">о проведении аукциона в электронной форме на право заключения договора аренды земельного участка </w:t>
      </w:r>
    </w:p>
    <w:p>
      <w:pPr>
        <w:pStyle w:val="Normal"/>
        <w:ind w:firstLine="567"/>
        <w:jc w:val="both"/>
        <w:rPr>
          <w:sz w:val="28"/>
          <w:szCs w:val="28"/>
        </w:rPr>
      </w:pPr>
      <w:r>
        <w:rPr>
          <w:sz w:val="28"/>
          <w:szCs w:val="28"/>
        </w:rPr>
      </w:r>
    </w:p>
    <w:p>
      <w:pPr>
        <w:pStyle w:val="Normal"/>
        <w:ind w:firstLine="708"/>
        <w:jc w:val="both"/>
        <w:rPr/>
      </w:pPr>
      <w:r>
        <w:rPr>
          <w:b/>
        </w:rPr>
        <w:t>Организатор торгов</w:t>
      </w:r>
      <w:r>
        <w:rPr/>
        <w:t xml:space="preserve"> - Комитет по управлению муниципальным имуществом Чебулинского муниципального округа объявляет о проведении торгов в форме открытого аукциона в электронной форме на право заключения договора аренды земельного участка, расположенного по адресу: </w:t>
      </w:r>
      <w:r>
        <w:rPr>
          <w:shd w:fill="auto" w:val="clear"/>
        </w:rPr>
        <w:t>Российская Федерация, Кемеровская область - Кузбасс, муниципальный округ Чебулинский, село Усманка, улица 40 лет Победы, земельный участок 1Д.</w:t>
      </w:r>
    </w:p>
    <w:p>
      <w:pPr>
        <w:pStyle w:val="BodyText"/>
        <w:spacing w:before="0" w:after="0"/>
        <w:jc w:val="both"/>
        <w:rPr>
          <w:sz w:val="24"/>
          <w:szCs w:val="24"/>
        </w:rPr>
      </w:pPr>
      <w:r>
        <w:rPr>
          <w:sz w:val="24"/>
          <w:szCs w:val="24"/>
        </w:rPr>
        <w:t xml:space="preserve">           </w:t>
      </w:r>
      <w:r>
        <w:rPr>
          <w:sz w:val="24"/>
          <w:szCs w:val="24"/>
        </w:rPr>
        <w:t xml:space="preserve">Извещение о проведении аукциона и документация об аукционе размещены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hyperlink r:id="rId2">
        <w:r>
          <w:rPr>
            <w:rStyle w:val="Hyperlink"/>
            <w:sz w:val="24"/>
            <w:szCs w:val="24"/>
          </w:rPr>
          <w:t>www.torgi.gov.ru</w:t>
        </w:r>
      </w:hyperlink>
      <w:r>
        <w:rPr>
          <w:sz w:val="24"/>
          <w:szCs w:val="24"/>
        </w:rPr>
        <w:t xml:space="preserve"> (далее официальный сайт торгов) и на официальном сайте организатора торгов, на электронной торговой площадке – РТС-тендер (</w:t>
      </w:r>
      <w:hyperlink r:id="rId3">
        <w:r>
          <w:rPr>
            <w:rStyle w:val="Hyperlink"/>
            <w:sz w:val="24"/>
            <w:szCs w:val="24"/>
          </w:rPr>
          <w:t>www.rts-tender.ru</w:t>
        </w:r>
      </w:hyperlink>
      <w:r>
        <w:rPr>
          <w:sz w:val="24"/>
          <w:szCs w:val="24"/>
        </w:rPr>
        <w:t xml:space="preserve"> ).   Плата за предоставление документации об аукционе не взимается. </w:t>
      </w:r>
    </w:p>
    <w:p>
      <w:pPr>
        <w:pStyle w:val="Normal"/>
        <w:ind w:firstLine="540"/>
        <w:jc w:val="both"/>
        <w:rPr>
          <w:color w:val="FF0000"/>
        </w:rPr>
      </w:pPr>
      <w:r>
        <w:rPr>
          <w:b/>
        </w:rPr>
        <w:t xml:space="preserve">  </w:t>
      </w:r>
      <w:r>
        <w:rPr>
          <w:b/>
        </w:rPr>
        <w:t>Основание проведения торгов</w:t>
      </w:r>
      <w:r>
        <w:rPr/>
        <w:t xml:space="preserve"> –  </w:t>
      </w:r>
      <w:r>
        <w:rPr>
          <w:shd w:fill="auto" w:val="clear"/>
        </w:rPr>
        <w:t xml:space="preserve">Постановление администрации Чебулинского муниципального округа № </w:t>
      </w:r>
      <w:r>
        <w:rPr>
          <w:shd w:fill="auto" w:val="clear"/>
        </w:rPr>
        <w:t>354</w:t>
      </w:r>
      <w:r>
        <w:rPr>
          <w:shd w:fill="auto" w:val="clear"/>
        </w:rPr>
        <w:t xml:space="preserve">-п от </w:t>
      </w:r>
      <w:r>
        <w:rPr>
          <w:shd w:fill="auto" w:val="clear"/>
        </w:rPr>
        <w:t>30</w:t>
      </w:r>
      <w:r>
        <w:rPr>
          <w:shd w:fill="auto" w:val="clear"/>
        </w:rPr>
        <w:t>.0</w:t>
      </w:r>
      <w:r>
        <w:rPr>
          <w:shd w:fill="auto" w:val="clear"/>
        </w:rPr>
        <w:t>9</w:t>
      </w:r>
      <w:r>
        <w:rPr>
          <w:shd w:fill="auto" w:val="clear"/>
        </w:rPr>
        <w:t>.2026 г.</w:t>
      </w:r>
      <w:r>
        <w:rPr>
          <w:sz w:val="24"/>
          <w:szCs w:val="24"/>
          <w:shd w:fill="auto" w:val="clear"/>
        </w:rPr>
        <w:t xml:space="preserve"> </w:t>
      </w:r>
      <w:r>
        <w:rPr>
          <w:b w:val="false"/>
          <w:bCs w:val="false"/>
          <w:sz w:val="24"/>
          <w:szCs w:val="24"/>
          <w:shd w:fill="auto" w:val="clear"/>
        </w:rPr>
        <w:t>«О проведении электронного аукциона на право заключения договора аренды земельного участка, расположенного по адресу: Российская Федерация, Кемеровская область - Кузбасс, муниципальный округ Чебулинский, село Усманка, улица 40 лет Победы, земельный участок 1</w:t>
      </w:r>
      <w:r>
        <w:rPr>
          <w:b w:val="false"/>
          <w:bCs w:val="false"/>
          <w:sz w:val="24"/>
          <w:szCs w:val="24"/>
          <w:shd w:fill="auto" w:val="clear"/>
        </w:rPr>
        <w:t>Е</w:t>
      </w:r>
      <w:r>
        <w:rPr>
          <w:b w:val="false"/>
          <w:bCs w:val="false"/>
          <w:sz w:val="24"/>
          <w:szCs w:val="24"/>
          <w:shd w:fill="auto" w:val="clear"/>
        </w:rPr>
        <w:t>».</w:t>
      </w:r>
    </w:p>
    <w:p>
      <w:pPr>
        <w:pStyle w:val="Normal"/>
        <w:ind w:firstLine="540"/>
        <w:jc w:val="both"/>
        <w:rPr>
          <w:color w:val="FF0000"/>
        </w:rPr>
      </w:pPr>
      <w:r>
        <w:rPr>
          <w:b w:val="false"/>
          <w:bCs w:val="false"/>
          <w:sz w:val="24"/>
          <w:szCs w:val="24"/>
          <w:shd w:fill="auto" w:val="clear"/>
        </w:rPr>
        <w:tab/>
      </w:r>
      <w:r>
        <w:rPr>
          <w:b/>
          <w:szCs w:val="24"/>
          <w:shd w:fill="auto" w:val="clear"/>
        </w:rPr>
        <w:t>Форма торгов</w:t>
      </w:r>
      <w:r>
        <w:rPr>
          <w:szCs w:val="24"/>
          <w:shd w:fill="auto" w:val="clear"/>
        </w:rPr>
        <w:t xml:space="preserve"> – электронный аукцион, открытый по составу участников и открытый по форме подачи предложений по цене.</w:t>
      </w:r>
    </w:p>
    <w:p>
      <w:pPr>
        <w:pStyle w:val="BodyTextIndent"/>
        <w:ind w:hanging="0"/>
        <w:rPr>
          <w:highlight w:val="none"/>
          <w:shd w:fill="auto" w:val="clear"/>
        </w:rPr>
      </w:pPr>
      <w:r>
        <w:rPr>
          <w:shd w:fill="auto" w:val="clear"/>
        </w:rPr>
        <w:tab/>
        <w:t xml:space="preserve">Аукцион проводится в соответствии с требованиями Земельного кодекса Российской Федерации. </w:t>
      </w:r>
    </w:p>
    <w:p>
      <w:pPr>
        <w:pStyle w:val="BodyTextIndent"/>
        <w:ind w:hanging="0"/>
        <w:rPr>
          <w:highlight w:val="none"/>
          <w:shd w:fill="auto" w:val="clear"/>
        </w:rPr>
      </w:pPr>
      <w:r>
        <w:rPr>
          <w:b/>
          <w:shd w:fill="auto" w:val="clear"/>
        </w:rPr>
        <w:tab/>
        <w:t>Предмет аукциона:</w:t>
      </w:r>
    </w:p>
    <w:p>
      <w:pPr>
        <w:pStyle w:val="Normal"/>
        <w:ind w:firstLine="360"/>
        <w:jc w:val="both"/>
        <w:rPr>
          <w:highlight w:val="none"/>
          <w:shd w:fill="auto" w:val="clear"/>
        </w:rPr>
      </w:pPr>
      <w:r>
        <w:rPr>
          <w:shd w:fill="auto" w:val="clear"/>
        </w:rPr>
        <w:t xml:space="preserve">    </w:t>
      </w:r>
      <w:r>
        <w:rPr>
          <w:shd w:fill="auto" w:val="clear"/>
        </w:rPr>
        <w:t xml:space="preserve">Земельный участок площадью </w:t>
      </w:r>
      <w:r>
        <w:rPr>
          <w:shd w:fill="auto" w:val="clear"/>
        </w:rPr>
        <w:t>2</w:t>
      </w:r>
      <w:r>
        <w:rPr>
          <w:rFonts w:eastAsia="Calibri" w:eastAsiaTheme="minorHAnsi"/>
          <w:shd w:fill="auto" w:val="clear"/>
        </w:rPr>
        <w:t xml:space="preserve"> </w:t>
      </w:r>
      <w:r>
        <w:rPr>
          <w:rFonts w:eastAsia="Calibri" w:eastAsiaTheme="minorHAnsi"/>
          <w:shd w:fill="auto" w:val="clear"/>
        </w:rPr>
        <w:t>683</w:t>
      </w:r>
      <w:r>
        <w:rPr>
          <w:shd w:fill="auto" w:val="clear"/>
        </w:rPr>
        <w:t xml:space="preserve"> кв.м., кадастровый номер: 42:16:0109004:84</w:t>
      </w:r>
      <w:r>
        <w:rPr>
          <w:shd w:fill="auto" w:val="clear"/>
        </w:rPr>
        <w:t>4</w:t>
      </w:r>
      <w:r>
        <w:rPr>
          <w:shd w:fill="auto" w:val="clear"/>
        </w:rPr>
        <w:t>, категория: земли населенных пунктов, вид разрешенного использования: автомобильный транспорт, расположенный по адресу: Российская Федерация, Кемеровская область - Кузбасс, муниципальный округ Чебулинский, село Усманка, улица 40 лет Победы, земельный участок 1</w:t>
      </w:r>
      <w:r>
        <w:rPr>
          <w:shd w:fill="auto" w:val="clear"/>
        </w:rPr>
        <w:t>Е</w:t>
      </w:r>
      <w:r>
        <w:rPr>
          <w:shd w:fill="auto" w:val="clear"/>
        </w:rPr>
        <w:t>.</w:t>
      </w:r>
    </w:p>
    <w:p>
      <w:pPr>
        <w:pStyle w:val="Normal"/>
        <w:ind w:hanging="0"/>
        <w:jc w:val="both"/>
        <w:rPr>
          <w:highlight w:val="none"/>
          <w:shd w:fill="auto" w:val="clear"/>
        </w:rPr>
      </w:pPr>
      <w:r>
        <w:rPr>
          <w:shd w:fill="auto" w:val="clear"/>
        </w:rPr>
        <w:t>Срок заключения договора аренды – 5 лет.</w:t>
      </w:r>
    </w:p>
    <w:p>
      <w:pPr>
        <w:pStyle w:val="Normal"/>
        <w:ind w:firstLine="360"/>
        <w:jc w:val="both"/>
        <w:rPr>
          <w:highlight w:val="none"/>
          <w:shd w:fill="auto" w:val="clear"/>
        </w:rPr>
      </w:pPr>
      <w:r>
        <w:rPr>
          <w:u w:val="none"/>
          <w:shd w:fill="auto" w:val="clear"/>
        </w:rPr>
        <w:t xml:space="preserve">   </w:t>
      </w:r>
      <w:r>
        <w:rPr>
          <w:u w:val="single"/>
          <w:shd w:fill="auto" w:val="clear"/>
        </w:rPr>
        <w:t>Техническая возможность подключения к сетям теплоснабжения, водоснабжения и водоотведения не имеется.</w:t>
      </w:r>
    </w:p>
    <w:p>
      <w:pPr>
        <w:pStyle w:val="Normal"/>
        <w:ind w:firstLine="360"/>
        <w:jc w:val="both"/>
        <w:rPr>
          <w:highlight w:val="none"/>
          <w:shd w:fill="auto" w:val="clear"/>
        </w:rPr>
      </w:pPr>
      <w:r>
        <w:rPr>
          <w:u w:val="none"/>
          <w:shd w:fill="auto" w:val="clear"/>
        </w:rPr>
        <w:t xml:space="preserve">    </w:t>
      </w:r>
      <w:r>
        <w:rPr>
          <w:u w:val="single"/>
          <w:shd w:fill="auto" w:val="clear"/>
        </w:rPr>
        <w:t>Техническая возможность подключения к сетям электроснабжения имеется.</w:t>
      </w:r>
    </w:p>
    <w:p>
      <w:pPr>
        <w:pStyle w:val="Normal"/>
        <w:ind w:firstLine="360"/>
        <w:jc w:val="both"/>
        <w:rPr>
          <w:highlight w:val="none"/>
          <w:shd w:fill="auto" w:val="clear"/>
        </w:rPr>
      </w:pPr>
      <w:r>
        <w:rPr>
          <w:shd w:fill="auto" w:val="clear"/>
        </w:rPr>
        <w:t xml:space="preserve">   </w:t>
      </w:r>
      <w:r>
        <w:rPr>
          <w:shd w:fill="auto" w:val="clear"/>
        </w:rPr>
        <w:t>Предельные параметры разрешенного строительства установлены в соответствии с действующим законодательством, с Правилами землепользования и застройки Чебулинского муниципального округа,  утвержденными решением Совета народных депутатов Чебулинского муниципального округа от 10.12.2024г. №37.</w:t>
      </w:r>
    </w:p>
    <w:p>
      <w:pPr>
        <w:pStyle w:val="Normal"/>
        <w:ind w:firstLine="540"/>
        <w:jc w:val="both"/>
        <w:rPr>
          <w:highlight w:val="none"/>
          <w:shd w:fill="auto" w:val="clear"/>
        </w:rPr>
      </w:pPr>
      <w:r>
        <w:rPr>
          <w:b/>
          <w:shd w:fill="auto" w:val="clear"/>
        </w:rPr>
        <w:t xml:space="preserve">  </w:t>
      </w:r>
      <w:r>
        <w:rPr>
          <w:b/>
          <w:shd w:fill="auto" w:val="clear"/>
        </w:rPr>
        <w:t>Дата начала приема заявок на участие в аукционе</w:t>
      </w:r>
      <w:r>
        <w:rPr>
          <w:shd w:fill="auto" w:val="clear"/>
        </w:rPr>
        <w:t xml:space="preserve"> – </w:t>
      </w:r>
      <w:r>
        <w:rPr>
          <w:shd w:fill="auto" w:val="clear"/>
        </w:rPr>
        <w:t>02</w:t>
      </w:r>
      <w:r>
        <w:rPr>
          <w:shd w:fill="auto" w:val="clear"/>
        </w:rPr>
        <w:t>.</w:t>
      </w:r>
      <w:r>
        <w:rPr>
          <w:shd w:fill="auto" w:val="clear"/>
        </w:rPr>
        <w:t>10</w:t>
      </w:r>
      <w:r>
        <w:rPr>
          <w:shd w:fill="auto" w:val="clear"/>
        </w:rPr>
        <w:t>.2026 г</w:t>
      </w:r>
      <w:r>
        <w:rPr>
          <w:b w:val="false"/>
          <w:bCs w:val="false"/>
          <w:shd w:fill="auto" w:val="clear"/>
        </w:rPr>
        <w:t>.</w:t>
      </w:r>
      <w:r>
        <w:rPr>
          <w:b/>
          <w:shd w:fill="auto" w:val="clear"/>
        </w:rPr>
        <w:t xml:space="preserve"> </w:t>
      </w:r>
      <w:r>
        <w:rPr>
          <w:shd w:fill="auto" w:val="clear"/>
        </w:rPr>
        <w:t>с 10.00 часов по местному времени.</w:t>
      </w:r>
    </w:p>
    <w:p>
      <w:pPr>
        <w:pStyle w:val="Normal"/>
        <w:ind w:firstLine="540"/>
        <w:jc w:val="both"/>
        <w:rPr>
          <w:highlight w:val="none"/>
          <w:shd w:fill="auto" w:val="clear"/>
        </w:rPr>
      </w:pPr>
      <w:r>
        <w:rPr>
          <w:b/>
          <w:shd w:fill="auto" w:val="clear"/>
        </w:rPr>
        <w:t xml:space="preserve">  </w:t>
      </w:r>
      <w:r>
        <w:rPr>
          <w:b/>
          <w:shd w:fill="auto" w:val="clear"/>
        </w:rPr>
        <w:t>Дата окончания приема заявок на участие в аукционе</w:t>
      </w:r>
      <w:r>
        <w:rPr>
          <w:shd w:fill="auto" w:val="clear"/>
        </w:rPr>
        <w:t xml:space="preserve"> – </w:t>
      </w:r>
      <w:r>
        <w:rPr>
          <w:shd w:fill="auto" w:val="clear"/>
        </w:rPr>
        <w:t>26</w:t>
      </w:r>
      <w:r>
        <w:rPr>
          <w:shd w:fill="auto" w:val="clear"/>
        </w:rPr>
        <w:t>.</w:t>
      </w:r>
      <w:r>
        <w:rPr>
          <w:shd w:fill="auto" w:val="clear"/>
        </w:rPr>
        <w:t>1</w:t>
      </w:r>
      <w:r>
        <w:rPr>
          <w:shd w:fill="auto" w:val="clear"/>
        </w:rPr>
        <w:t>0.2026 г. до 10.00 часов по местному времени.</w:t>
      </w:r>
    </w:p>
    <w:p>
      <w:pPr>
        <w:pStyle w:val="555"/>
        <w:spacing w:lineRule="auto" w:line="240" w:before="0" w:after="0"/>
        <w:ind w:firstLine="708"/>
        <w:rPr>
          <w:highlight w:val="none"/>
          <w:shd w:fill="auto" w:val="clear"/>
        </w:rPr>
      </w:pPr>
      <w:r>
        <w:rPr>
          <w:rFonts w:ascii="Times New Roman" w:hAnsi="Times New Roman"/>
          <w:b/>
          <w:bCs/>
          <w:iCs/>
          <w:sz w:val="24"/>
          <w:szCs w:val="24"/>
          <w:shd w:fill="auto" w:val="clear"/>
        </w:rPr>
        <w:t xml:space="preserve">Дата определения участников аукциона </w:t>
      </w:r>
      <w:r>
        <w:rPr>
          <w:rFonts w:ascii="Times New Roman" w:hAnsi="Times New Roman"/>
          <w:iCs/>
          <w:sz w:val="24"/>
          <w:szCs w:val="24"/>
          <w:shd w:fill="auto" w:val="clear"/>
        </w:rPr>
        <w:t xml:space="preserve">– </w:t>
      </w:r>
      <w:r>
        <w:rPr>
          <w:rFonts w:ascii="Times New Roman" w:hAnsi="Times New Roman"/>
          <w:iCs/>
          <w:sz w:val="24"/>
          <w:szCs w:val="24"/>
          <w:shd w:fill="auto" w:val="clear"/>
        </w:rPr>
        <w:t>27</w:t>
      </w:r>
      <w:r>
        <w:rPr>
          <w:rFonts w:ascii="Times New Roman" w:hAnsi="Times New Roman"/>
          <w:iCs/>
          <w:sz w:val="24"/>
          <w:szCs w:val="24"/>
          <w:shd w:fill="auto" w:val="clear"/>
        </w:rPr>
        <w:t>.</w:t>
      </w:r>
      <w:r>
        <w:rPr>
          <w:rFonts w:ascii="Times New Roman" w:hAnsi="Times New Roman"/>
          <w:iCs/>
          <w:sz w:val="24"/>
          <w:szCs w:val="24"/>
          <w:shd w:fill="auto" w:val="clear"/>
        </w:rPr>
        <w:t>10</w:t>
      </w:r>
      <w:r>
        <w:rPr>
          <w:rFonts w:ascii="Times New Roman" w:hAnsi="Times New Roman"/>
          <w:iCs/>
          <w:sz w:val="24"/>
          <w:szCs w:val="24"/>
          <w:shd w:fill="auto" w:val="clear"/>
        </w:rPr>
        <w:t>.2026г</w:t>
      </w:r>
      <w:r>
        <w:rPr>
          <w:rFonts w:ascii="Times New Roman" w:hAnsi="Times New Roman"/>
          <w:bCs/>
          <w:iCs/>
          <w:sz w:val="24"/>
          <w:szCs w:val="24"/>
          <w:shd w:fill="auto" w:val="clear"/>
        </w:rPr>
        <w:t>.</w:t>
      </w:r>
    </w:p>
    <w:p>
      <w:pPr>
        <w:pStyle w:val="555"/>
        <w:spacing w:lineRule="auto" w:line="240" w:before="0" w:after="0"/>
        <w:ind w:firstLine="708"/>
        <w:rPr>
          <w:highlight w:val="none"/>
          <w:shd w:fill="auto" w:val="clear"/>
        </w:rPr>
      </w:pPr>
      <w:r>
        <w:rPr>
          <w:rFonts w:ascii="Times New Roman" w:hAnsi="Times New Roman"/>
          <w:b/>
          <w:bCs/>
          <w:iCs/>
          <w:sz w:val="24"/>
          <w:szCs w:val="24"/>
          <w:shd w:fill="auto" w:val="clear"/>
        </w:rPr>
        <w:t xml:space="preserve">Дата, время и место проведения аукциона </w:t>
      </w:r>
      <w:r>
        <w:rPr>
          <w:rFonts w:ascii="Times New Roman" w:hAnsi="Times New Roman"/>
          <w:bCs/>
          <w:iCs/>
          <w:sz w:val="24"/>
          <w:szCs w:val="24"/>
          <w:shd w:fill="auto" w:val="clear"/>
        </w:rPr>
        <w:t xml:space="preserve">– </w:t>
      </w:r>
      <w:r>
        <w:rPr>
          <w:rFonts w:ascii="Times New Roman" w:hAnsi="Times New Roman"/>
          <w:bCs/>
          <w:iCs/>
          <w:sz w:val="24"/>
          <w:szCs w:val="24"/>
          <w:shd w:fill="auto" w:val="clear"/>
        </w:rPr>
        <w:t>29</w:t>
      </w:r>
      <w:r>
        <w:rPr>
          <w:rFonts w:ascii="Times New Roman" w:hAnsi="Times New Roman"/>
          <w:bCs/>
          <w:iCs/>
          <w:sz w:val="24"/>
          <w:szCs w:val="24"/>
          <w:shd w:fill="auto" w:val="clear"/>
        </w:rPr>
        <w:t>.</w:t>
      </w:r>
      <w:r>
        <w:rPr>
          <w:rFonts w:ascii="Times New Roman" w:hAnsi="Times New Roman"/>
          <w:bCs/>
          <w:iCs/>
          <w:sz w:val="24"/>
          <w:szCs w:val="24"/>
          <w:shd w:fill="auto" w:val="clear"/>
        </w:rPr>
        <w:t>10</w:t>
      </w:r>
      <w:r>
        <w:rPr>
          <w:rFonts w:ascii="Times New Roman" w:hAnsi="Times New Roman"/>
          <w:bCs/>
          <w:iCs/>
          <w:sz w:val="24"/>
          <w:szCs w:val="24"/>
          <w:shd w:fill="auto" w:val="clear"/>
        </w:rPr>
        <w:t>.2026 в 10.00 по местному времени на электронной площадке</w:t>
      </w:r>
      <w:r>
        <w:rPr>
          <w:rFonts w:ascii="Times New Roman" w:hAnsi="Times New Roman"/>
          <w:sz w:val="24"/>
          <w:szCs w:val="24"/>
          <w:shd w:fill="auto" w:val="clear"/>
        </w:rPr>
        <w:t xml:space="preserve"> </w:t>
      </w:r>
      <w:r>
        <w:rPr>
          <w:rFonts w:ascii="Times New Roman" w:hAnsi="Times New Roman"/>
          <w:bCs/>
          <w:iCs/>
          <w:sz w:val="24"/>
          <w:szCs w:val="24"/>
          <w:shd w:fill="auto" w:val="clear"/>
        </w:rPr>
        <w:t>РТС-тендер (www.rts-tender.ru).</w:t>
      </w:r>
    </w:p>
    <w:p>
      <w:pPr>
        <w:pStyle w:val="Normal"/>
        <w:ind w:firstLine="709"/>
        <w:jc w:val="both"/>
        <w:rPr>
          <w:color w:val="000000"/>
        </w:rPr>
      </w:pPr>
      <w:r>
        <w:rPr>
          <w:color w:val="000000"/>
        </w:rPr>
        <w:t>Организатор аукциона вправе принять решение об отказе в проведении аукциона в сроки, предусмотренные законодательством Российской Федерации.</w:t>
      </w:r>
    </w:p>
    <w:p>
      <w:pPr>
        <w:pStyle w:val="BodyTextIndent"/>
        <w:ind w:firstLine="426"/>
        <w:rPr/>
      </w:pPr>
      <w:r>
        <w:rPr>
          <w:b/>
          <w:bCs/>
        </w:rPr>
        <w:t xml:space="preserve">     </w:t>
      </w:r>
      <w:r>
        <w:rPr>
          <w:b/>
          <w:bCs/>
          <w:szCs w:val="24"/>
        </w:rPr>
        <w:t>Начальная цена аукциона -</w:t>
      </w:r>
      <w:r>
        <w:rPr>
          <w:b/>
          <w:bCs/>
          <w:szCs w:val="24"/>
          <w:shd w:fill="auto" w:val="clear"/>
        </w:rPr>
        <w:t xml:space="preserve"> </w:t>
      </w:r>
      <w:r>
        <w:rPr>
          <w:color w:val="000000"/>
          <w:shd w:fill="auto" w:val="clear"/>
        </w:rPr>
        <w:t>Согласно отчета «</w:t>
      </w:r>
      <w:bookmarkStart w:id="0" w:name="_Hlk133438475"/>
      <w:r>
        <w:rPr>
          <w:color w:val="000000"/>
          <w:shd w:fill="auto" w:val="clear"/>
        </w:rPr>
        <w:t>Об оценке рыночной стоимости арендной платы за использование земельного участка...» №054-07-26 от 10.07.2026 и</w:t>
      </w:r>
      <w:r>
        <w:rPr>
          <w:color w:val="000000"/>
        </w:rPr>
        <w:t xml:space="preserve">тоговая величина рыночной стоимости </w:t>
      </w:r>
      <w:r>
        <w:rPr>
          <w:color w:val="000000"/>
          <w:u w:val="single"/>
        </w:rPr>
        <w:t>годовой</w:t>
      </w:r>
      <w:r>
        <w:rPr>
          <w:color w:val="000000"/>
        </w:rPr>
        <w:t xml:space="preserve"> арендной платы предмета аукциона составляет </w:t>
      </w:r>
      <w:r>
        <w:rPr>
          <w:b/>
          <w:bCs/>
          <w:color w:val="000000"/>
        </w:rPr>
        <w:t>3</w:t>
      </w:r>
      <w:r>
        <w:rPr>
          <w:b/>
          <w:bCs/>
          <w:color w:val="000000"/>
        </w:rPr>
        <w:t>2</w:t>
      </w:r>
      <w:r>
        <w:rPr>
          <w:b/>
          <w:bCs/>
          <w:color w:val="000000"/>
        </w:rPr>
        <w:t xml:space="preserve"> </w:t>
      </w:r>
      <w:r>
        <w:rPr>
          <w:b/>
          <w:bCs/>
          <w:color w:val="000000"/>
        </w:rPr>
        <w:t>4</w:t>
      </w:r>
      <w:r>
        <w:rPr>
          <w:b/>
          <w:bCs/>
          <w:color w:val="000000"/>
        </w:rPr>
        <w:t>00,00</w:t>
      </w:r>
      <w:r>
        <w:rPr>
          <w:b/>
          <w:bCs/>
          <w:color w:val="000000"/>
          <w:shd w:fill="auto" w:val="clear"/>
        </w:rPr>
        <w:t xml:space="preserve"> </w:t>
      </w:r>
      <w:r>
        <w:rPr>
          <w:b w:val="false"/>
          <w:bCs w:val="false"/>
          <w:color w:val="000000"/>
          <w:shd w:fill="auto" w:val="clear"/>
        </w:rPr>
        <w:t>(Тридцать д</w:t>
      </w:r>
      <w:r>
        <w:rPr>
          <w:b w:val="false"/>
          <w:bCs w:val="false"/>
          <w:color w:val="000000"/>
          <w:shd w:fill="auto" w:val="clear"/>
        </w:rPr>
        <w:t>ве</w:t>
      </w:r>
      <w:r>
        <w:rPr>
          <w:b w:val="false"/>
          <w:bCs w:val="false"/>
          <w:color w:val="000000"/>
          <w:shd w:fill="auto" w:val="clear"/>
        </w:rPr>
        <w:t xml:space="preserve"> тысяч</w:t>
      </w:r>
      <w:r>
        <w:rPr>
          <w:b w:val="false"/>
          <w:bCs w:val="false"/>
          <w:color w:val="000000"/>
          <w:shd w:fill="auto" w:val="clear"/>
        </w:rPr>
        <w:t>и</w:t>
      </w:r>
      <w:r>
        <w:rPr>
          <w:b w:val="false"/>
          <w:bCs w:val="false"/>
          <w:color w:val="000000"/>
          <w:shd w:fill="auto" w:val="clear"/>
        </w:rPr>
        <w:t xml:space="preserve"> </w:t>
      </w:r>
      <w:r>
        <w:rPr>
          <w:b w:val="false"/>
          <w:bCs w:val="false"/>
          <w:color w:val="000000"/>
          <w:shd w:fill="auto" w:val="clear"/>
        </w:rPr>
        <w:t>четыреста</w:t>
      </w:r>
      <w:r>
        <w:rPr>
          <w:b w:val="false"/>
          <w:bCs w:val="false"/>
          <w:color w:val="000000"/>
          <w:shd w:fill="auto" w:val="clear"/>
        </w:rPr>
        <w:t>)</w:t>
      </w:r>
      <w:r>
        <w:rPr>
          <w:color w:val="000000"/>
          <w:shd w:fill="auto" w:val="clear"/>
        </w:rPr>
        <w:t xml:space="preserve"> </w:t>
      </w:r>
      <w:r>
        <w:rPr>
          <w:color w:val="000000"/>
        </w:rPr>
        <w:t xml:space="preserve">рублей 00 копеек, НДС не облагается. </w:t>
      </w:r>
      <w:bookmarkEnd w:id="0"/>
    </w:p>
    <w:p>
      <w:pPr>
        <w:pStyle w:val="BodyTextIndent"/>
        <w:ind w:firstLine="709"/>
        <w:rPr>
          <w:szCs w:val="24"/>
        </w:rPr>
      </w:pPr>
      <w:r>
        <w:rPr>
          <w:b/>
        </w:rPr>
        <w:t>Шаг аукциона</w:t>
      </w:r>
      <w:r>
        <w:rPr/>
        <w:t xml:space="preserve"> –</w:t>
      </w:r>
      <w:r>
        <w:rPr>
          <w:shd w:fill="auto" w:val="clear"/>
        </w:rPr>
        <w:t xml:space="preserve"> </w:t>
      </w:r>
      <w:r>
        <w:rPr>
          <w:b/>
          <w:bCs/>
          <w:shd w:fill="auto" w:val="clear"/>
        </w:rPr>
        <w:t>972</w:t>
      </w:r>
      <w:r>
        <w:rPr>
          <w:rFonts w:eastAsia="Calibri" w:eastAsiaTheme="minorHAnsi"/>
          <w:b/>
          <w:bCs/>
          <w:shd w:fill="auto" w:val="clear"/>
        </w:rPr>
        <w:t>,00</w:t>
      </w:r>
      <w:r>
        <w:rPr>
          <w:shd w:fill="auto" w:val="clear"/>
        </w:rPr>
        <w:t xml:space="preserve"> </w:t>
      </w:r>
      <w:r>
        <w:rPr/>
        <w:t>(</w:t>
      </w:r>
      <w:r>
        <w:rPr/>
        <w:t>девятьсот семьдесят два</w:t>
      </w:r>
      <w:r>
        <w:rPr/>
        <w:t xml:space="preserve">) рубля 00 копеек, что составляет 3% от начального размера годовой арендной платы. </w:t>
      </w:r>
      <w:r>
        <w:rPr>
          <w:szCs w:val="24"/>
        </w:rPr>
        <w:t>Время ожидания ценового предложения – 10 (десять) минут.</w:t>
      </w:r>
    </w:p>
    <w:p>
      <w:pPr>
        <w:pStyle w:val="BodyTextIndent"/>
        <w:ind w:hanging="0"/>
        <w:rPr>
          <w:szCs w:val="24"/>
        </w:rPr>
      </w:pPr>
      <w:r>
        <w:rPr>
          <w:b/>
          <w:szCs w:val="24"/>
        </w:rPr>
        <w:t xml:space="preserve">            </w:t>
      </w:r>
      <w:r>
        <w:rPr>
          <w:b/>
          <w:szCs w:val="24"/>
        </w:rPr>
        <w:t>Внесение задатка</w:t>
      </w:r>
      <w:r>
        <w:rPr>
          <w:szCs w:val="24"/>
        </w:rPr>
        <w:t xml:space="preserve">: Для участия в аукционе претендент вносит </w:t>
      </w:r>
      <w:r>
        <w:rPr>
          <w:szCs w:val="24"/>
          <w:shd w:fill="auto" w:val="clear"/>
        </w:rPr>
        <w:t xml:space="preserve">до </w:t>
      </w:r>
      <w:r>
        <w:rPr>
          <w:b/>
          <w:bCs/>
          <w:szCs w:val="24"/>
          <w:shd w:fill="auto" w:val="clear"/>
        </w:rPr>
        <w:t>26</w:t>
      </w:r>
      <w:r>
        <w:rPr>
          <w:b/>
          <w:bCs/>
          <w:szCs w:val="24"/>
          <w:shd w:fill="auto" w:val="clear"/>
        </w:rPr>
        <w:t>.</w:t>
      </w:r>
      <w:r>
        <w:rPr>
          <w:b/>
          <w:bCs/>
          <w:szCs w:val="24"/>
          <w:shd w:fill="auto" w:val="clear"/>
        </w:rPr>
        <w:t>10</w:t>
      </w:r>
      <w:r>
        <w:rPr>
          <w:b/>
          <w:bCs/>
          <w:szCs w:val="24"/>
          <w:shd w:fill="auto" w:val="clear"/>
        </w:rPr>
        <w:t>.2026 г.</w:t>
      </w:r>
      <w:r>
        <w:rPr>
          <w:szCs w:val="24"/>
          <w:shd w:fill="auto" w:val="clear"/>
        </w:rPr>
        <w:t xml:space="preserve"> з</w:t>
      </w:r>
      <w:r>
        <w:rPr>
          <w:szCs w:val="24"/>
        </w:rPr>
        <w:t xml:space="preserve">адаток в размере </w:t>
      </w:r>
      <w:r>
        <w:rPr>
          <w:bCs/>
          <w:szCs w:val="24"/>
        </w:rPr>
        <w:t xml:space="preserve">– </w:t>
      </w:r>
      <w:r>
        <w:rPr>
          <w:b/>
          <w:bCs/>
          <w:szCs w:val="24"/>
        </w:rPr>
        <w:t>6</w:t>
      </w:r>
      <w:r>
        <w:rPr>
          <w:rFonts w:eastAsia="Calibri" w:eastAsiaTheme="minorHAnsi"/>
          <w:b/>
          <w:bCs/>
          <w:szCs w:val="24"/>
          <w:shd w:fill="auto" w:val="clear"/>
        </w:rPr>
        <w:t xml:space="preserve"> </w:t>
      </w:r>
      <w:r>
        <w:rPr>
          <w:rFonts w:eastAsia="Calibri" w:eastAsiaTheme="minorHAnsi"/>
          <w:b/>
          <w:bCs/>
          <w:szCs w:val="24"/>
          <w:shd w:fill="auto" w:val="clear"/>
        </w:rPr>
        <w:t>48</w:t>
      </w:r>
      <w:r>
        <w:rPr>
          <w:rFonts w:eastAsia="Calibri" w:eastAsiaTheme="minorHAnsi"/>
          <w:b/>
          <w:bCs/>
          <w:szCs w:val="24"/>
          <w:shd w:fill="auto" w:val="clear"/>
        </w:rPr>
        <w:t>0,00</w:t>
      </w:r>
      <w:r>
        <w:rPr>
          <w:bCs/>
          <w:szCs w:val="24"/>
          <w:shd w:fill="auto" w:val="clear"/>
        </w:rPr>
        <w:t xml:space="preserve"> </w:t>
      </w:r>
      <w:r>
        <w:rPr/>
        <w:t>(</w:t>
      </w:r>
      <w:r>
        <w:rPr/>
        <w:t>Шесть тысяч четыреста восемьдесят</w:t>
      </w:r>
      <w:r>
        <w:rPr/>
        <w:t>) рублей 00 копеек</w:t>
      </w:r>
      <w:r>
        <w:rPr>
          <w:bCs/>
          <w:szCs w:val="24"/>
        </w:rPr>
        <w:t>, составляющий 20% начальной цены аукциона</w:t>
      </w:r>
      <w:r>
        <w:rPr>
          <w:szCs w:val="24"/>
        </w:rPr>
        <w:t>.</w:t>
      </w:r>
    </w:p>
    <w:p>
      <w:pPr>
        <w:pStyle w:val="BodyTextIndent"/>
        <w:rPr>
          <w:b/>
          <w:bCs/>
          <w:szCs w:val="24"/>
        </w:rPr>
      </w:pPr>
      <w:r>
        <w:rPr>
          <w:b/>
          <w:bCs/>
          <w:szCs w:val="24"/>
        </w:rPr>
        <w:t>Реквизиты для перечисления задатка:</w:t>
      </w:r>
    </w:p>
    <w:p>
      <w:pPr>
        <w:pStyle w:val="BodyTextIndent"/>
        <w:rPr>
          <w:highlight w:val="none"/>
          <w:shd w:fill="auto" w:val="clear"/>
        </w:rPr>
      </w:pPr>
      <w:r>
        <w:rPr>
          <w:b w:val="false"/>
          <w:bCs w:val="false"/>
          <w:szCs w:val="24"/>
          <w:shd w:fill="auto" w:val="clear"/>
        </w:rPr>
        <w:t>Получатель: ООО «РТС-Тендер</w:t>
      </w:r>
    </w:p>
    <w:p>
      <w:pPr>
        <w:pStyle w:val="BodyTextIndent"/>
        <w:rPr>
          <w:highlight w:val="none"/>
          <w:shd w:fill="auto" w:val="clear"/>
        </w:rPr>
      </w:pPr>
      <w:r>
        <w:rPr>
          <w:b w:val="false"/>
          <w:bCs w:val="false"/>
          <w:szCs w:val="24"/>
          <w:shd w:fill="auto" w:val="clear"/>
        </w:rPr>
        <w:t>Наименование банка: филиал «Корпоративный» ПАО «Совкомбанк»</w:t>
      </w:r>
    </w:p>
    <w:p>
      <w:pPr>
        <w:pStyle w:val="BodyTextIndent"/>
        <w:rPr>
          <w:highlight w:val="none"/>
          <w:shd w:fill="auto" w:val="clear"/>
        </w:rPr>
      </w:pPr>
      <w:r>
        <w:rPr>
          <w:b w:val="false"/>
          <w:bCs w:val="false"/>
          <w:szCs w:val="24"/>
          <w:shd w:fill="auto" w:val="clear"/>
        </w:rPr>
        <w:t>Расчетный счет: 40702810512030016362</w:t>
      </w:r>
    </w:p>
    <w:p>
      <w:pPr>
        <w:pStyle w:val="BodyTextIndent"/>
        <w:rPr>
          <w:highlight w:val="none"/>
          <w:shd w:fill="auto" w:val="clear"/>
        </w:rPr>
      </w:pPr>
      <w:r>
        <w:rPr>
          <w:b w:val="false"/>
          <w:bCs w:val="false"/>
          <w:szCs w:val="24"/>
          <w:shd w:fill="auto" w:val="clear"/>
        </w:rPr>
        <w:t>Корр.счет: 30101810445250000360</w:t>
      </w:r>
    </w:p>
    <w:p>
      <w:pPr>
        <w:pStyle w:val="BodyTextIndent"/>
        <w:rPr>
          <w:highlight w:val="none"/>
          <w:shd w:fill="auto" w:val="clear"/>
        </w:rPr>
      </w:pPr>
      <w:r>
        <w:rPr>
          <w:b w:val="false"/>
          <w:bCs w:val="false"/>
          <w:szCs w:val="24"/>
          <w:shd w:fill="auto" w:val="clear"/>
        </w:rPr>
        <w:t>БИК: 044525360</w:t>
      </w:r>
    </w:p>
    <w:p>
      <w:pPr>
        <w:pStyle w:val="BodyTextIndent"/>
        <w:rPr>
          <w:highlight w:val="none"/>
          <w:shd w:fill="auto" w:val="clear"/>
        </w:rPr>
      </w:pPr>
      <w:r>
        <w:rPr>
          <w:b w:val="false"/>
          <w:bCs w:val="false"/>
          <w:szCs w:val="24"/>
          <w:shd w:fill="auto" w:val="clear"/>
        </w:rPr>
        <w:t>ИНН: 7710357167</w:t>
      </w:r>
    </w:p>
    <w:p>
      <w:pPr>
        <w:pStyle w:val="BodyTextIndent"/>
        <w:rPr>
          <w:highlight w:val="none"/>
          <w:shd w:fill="auto" w:val="clear"/>
        </w:rPr>
      </w:pPr>
      <w:r>
        <w:rPr>
          <w:b w:val="false"/>
          <w:bCs w:val="false"/>
          <w:szCs w:val="24"/>
          <w:shd w:fill="auto" w:val="clear"/>
        </w:rPr>
        <w:t>КПП: 773001001</w:t>
      </w:r>
    </w:p>
    <w:p>
      <w:pPr>
        <w:pStyle w:val="BodyTextIndent"/>
        <w:rPr>
          <w:b w:val="false"/>
          <w:bCs w:val="false"/>
        </w:rPr>
      </w:pPr>
      <w:r>
        <w:rPr>
          <w:b w:val="false"/>
          <w:bCs w:val="false"/>
          <w:szCs w:val="24"/>
          <w:shd w:fill="auto" w:val="clear"/>
        </w:rPr>
        <w:t xml:space="preserve">Назначение платежа: </w:t>
      </w:r>
      <w:r>
        <w:rPr>
          <w:b w:val="false"/>
          <w:bCs w:val="false"/>
          <w:szCs w:val="24"/>
        </w:rPr>
        <w:t>Внесение гарантийного обеспечения по Соглашению о внесении гарантийного обеспечения, № аналитического счета _________, без НДС.</w:t>
      </w:r>
    </w:p>
    <w:p>
      <w:pPr>
        <w:pStyle w:val="BodyTextIndent"/>
        <w:rPr>
          <w:bCs/>
          <w:szCs w:val="24"/>
        </w:rPr>
      </w:pPr>
      <w:r>
        <w:rPr>
          <w:bCs/>
          <w:szCs w:val="24"/>
        </w:rPr>
        <w:t>Аналитический счет претендента – счет претендента, открытый ему оператором электронной площадки при регистрации на электронной площадке.</w:t>
      </w:r>
    </w:p>
    <w:p>
      <w:pPr>
        <w:pStyle w:val="BodyTextIndent"/>
        <w:rPr>
          <w:bCs/>
          <w:szCs w:val="24"/>
        </w:rPr>
      </w:pPr>
      <w:r>
        <w:rPr>
          <w:bCs/>
          <w:szCs w:val="24"/>
        </w:rPr>
        <w:t>Платежи по перечислению задатка для участия в аукционе и порядок возврата задатка осуществляются в соответствии с регламентом электронной площадки.</w:t>
      </w:r>
    </w:p>
    <w:p>
      <w:pPr>
        <w:pStyle w:val="BodyTextIndent"/>
        <w:rPr>
          <w:bCs/>
          <w:szCs w:val="24"/>
        </w:rPr>
      </w:pPr>
      <w:r>
        <w:rPr>
          <w:bCs/>
          <w:szCs w:val="24"/>
        </w:rPr>
        <w:t>В платежном поручении в разделе «Назначение платежа» заявитель должен указать дату проведения аукциона, номер лота и наименование выставленного на аукцион объекта, в отношении которого им подается заявка.</w:t>
      </w:r>
    </w:p>
    <w:p>
      <w:pPr>
        <w:pStyle w:val="BodyTextIndent"/>
        <w:rPr>
          <w:bCs/>
          <w:szCs w:val="24"/>
        </w:rPr>
      </w:pPr>
      <w:r>
        <w:rPr>
          <w:bCs/>
          <w:szCs w:val="24"/>
          <w:shd w:fill="auto" w:val="clear"/>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 В этом случае документы, подтверждающие внесение задатка, заявителем не представляются.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w:t>
      </w:r>
    </w:p>
    <w:p>
      <w:pPr>
        <w:pStyle w:val="Normal"/>
        <w:ind w:firstLine="540"/>
        <w:jc w:val="both"/>
        <w:rPr>
          <w:b/>
        </w:rPr>
      </w:pPr>
      <w:r>
        <w:rPr>
          <w:b/>
        </w:rPr>
        <w:t>Документы, необходимые для участия в торгах:</w:t>
      </w:r>
    </w:p>
    <w:p>
      <w:pPr>
        <w:pStyle w:val="Normal"/>
        <w:jc w:val="both"/>
        <w:rPr/>
      </w:pPr>
      <w:r>
        <w:rPr>
          <w:b/>
        </w:rPr>
        <w:t xml:space="preserve">         </w:t>
      </w:r>
      <w:r>
        <w:rPr>
          <w:i w:val="false"/>
          <w:iCs w:val="false"/>
          <w:u w:val="single"/>
        </w:rPr>
        <w:t>Одно лицо имеет право подать только одну заявку.</w:t>
      </w:r>
    </w:p>
    <w:p>
      <w:pPr>
        <w:pStyle w:val="Normal"/>
        <w:ind w:firstLine="540"/>
        <w:jc w:val="both"/>
        <w:rPr/>
      </w:pPr>
      <w:r>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 и 3 пункта 1, пункте 1.1 статьи 39.12 ЗК РФ.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pPr>
        <w:pStyle w:val="Normal"/>
        <w:ind w:firstLine="540"/>
        <w:jc w:val="both"/>
        <w:rPr/>
      </w:pPr>
      <w:r>
        <w:rPr/>
        <w:t>Все документы, входящие в состав Заявки на участие в аукционе, должны быть предоставлены Участником аукциона через Электронную торговую площадку (ЭТП) в отсканированном виде в доступном для прочтения формате (предпочтительнее формат *.pdf, формат: один файл – один документ). Все файлы Заявки на участие в аукционе, размещенные Участником аукциона на ЭТП, должны иметь наименование либо комментарий, позволяющие идентифицировать содержание данного файла Заявки на участие в аукционе, с указанием наименования документа, представленного данным файлом.</w:t>
      </w:r>
    </w:p>
    <w:p>
      <w:pPr>
        <w:pStyle w:val="Normal"/>
        <w:ind w:firstLine="540"/>
        <w:jc w:val="both"/>
        <w:rPr/>
      </w:pPr>
      <w:r>
        <w:rPr/>
        <w:t xml:space="preserve">  </w:t>
      </w:r>
      <w:r>
        <w:rPr/>
        <w:t>Для участия в аукционе заявители представляют в установленный в извещении о проведении аукциона срок следующие документы:</w:t>
      </w:r>
    </w:p>
    <w:p>
      <w:pPr>
        <w:pStyle w:val="Normal"/>
        <w:ind w:firstLine="540"/>
        <w:jc w:val="both"/>
        <w:rPr/>
      </w:pPr>
      <w:r>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pPr>
        <w:pStyle w:val="Normal"/>
        <w:ind w:firstLine="540"/>
        <w:jc w:val="both"/>
        <w:rPr/>
      </w:pPr>
      <w:r>
        <w:rPr/>
        <w:t>2) копии документов, удостоверяющих личность заявителя (для граждан);</w:t>
      </w:r>
    </w:p>
    <w:p>
      <w:pPr>
        <w:pStyle w:val="Normal"/>
        <w:ind w:firstLine="540"/>
        <w:jc w:val="both"/>
        <w:rPr/>
      </w:pPr>
      <w:r>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pStyle w:val="Normal"/>
        <w:ind w:firstLine="540"/>
        <w:jc w:val="both"/>
        <w:rPr/>
      </w:pPr>
      <w:r>
        <w:rPr/>
        <w:t xml:space="preserve">4) документы, подтверждающие внесение задатка (за исключением случая, предусмотренного пунктом 5 статьи 39.13 ЗК РФ).  </w:t>
      </w:r>
    </w:p>
    <w:p>
      <w:pPr>
        <w:pStyle w:val="Normal"/>
        <w:ind w:firstLine="540"/>
        <w:jc w:val="both"/>
        <w:rPr/>
      </w:pPr>
      <w:r>
        <w:rPr/>
        <w:t>Указанные документы в части их оформления и содержания должны соответствовать требованиям действующего законодательства РФ.</w:t>
      </w:r>
    </w:p>
    <w:p>
      <w:pPr>
        <w:pStyle w:val="Normal"/>
        <w:ind w:firstLine="540"/>
        <w:jc w:val="both"/>
        <w:rPr/>
      </w:pPr>
      <w:r>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pPr>
        <w:pStyle w:val="Normal"/>
        <w:ind w:firstLine="540"/>
        <w:jc w:val="both"/>
        <w:rPr>
          <w:sz w:val="24"/>
          <w:szCs w:val="24"/>
        </w:rPr>
      </w:pPr>
      <w:r>
        <w:rPr>
          <w:b w:val="false"/>
          <w:i w:val="false"/>
          <w:caps w:val="false"/>
          <w:smallCaps w:val="false"/>
          <w:color w:val="000000"/>
          <w:spacing w:val="0"/>
          <w:sz w:val="24"/>
          <w:szCs w:val="24"/>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pPr>
        <w:pStyle w:val="Normal"/>
        <w:ind w:firstLine="540"/>
        <w:jc w:val="both"/>
        <w:rPr>
          <w:rFonts w:ascii="Times New Roman" w:hAnsi="Times New Roman"/>
          <w:b w:val="false"/>
          <w:i w:val="false"/>
          <w:i w:val="false"/>
          <w:caps w:val="false"/>
          <w:smallCaps w:val="false"/>
          <w:color w:val="000000"/>
          <w:spacing w:val="0"/>
          <w:sz w:val="24"/>
          <w:szCs w:val="24"/>
        </w:rPr>
      </w:pPr>
      <w:r>
        <w:rPr>
          <w:b w:val="false"/>
          <w:i w:val="false"/>
          <w:caps w:val="false"/>
          <w:smallCaps w:val="false"/>
          <w:color w:val="000000"/>
          <w:spacing w:val="0"/>
          <w:sz w:val="24"/>
          <w:szCs w:val="24"/>
        </w:rPr>
        <w:t>Заявка на участие в аукционе, поступившая по истечении срока приема заявок, возвращается заявителю в день ее поступления.</w:t>
      </w:r>
    </w:p>
    <w:p>
      <w:pPr>
        <w:pStyle w:val="Normal"/>
        <w:ind w:firstLine="540"/>
        <w:jc w:val="both"/>
        <w:rPr/>
      </w:pPr>
      <w:r>
        <w:rPr/>
        <w:t>Иностранные юридические и физические лица допускаются к участию в торгах с соблюдением требований, установленных законодательством Российской Федерации.</w:t>
      </w:r>
    </w:p>
    <w:p>
      <w:pPr>
        <w:pStyle w:val="Normal"/>
        <w:ind w:firstLine="540"/>
        <w:jc w:val="both"/>
        <w:rPr/>
      </w:pPr>
      <w:r>
        <w:rPr/>
        <w:t>Индивидуальные предприниматели, действующие без образования юридического лица, принимают участие в аукционе как физические лица.</w:t>
      </w:r>
    </w:p>
    <w:p>
      <w:pPr>
        <w:pStyle w:val="Normal"/>
        <w:ind w:firstLine="540"/>
        <w:jc w:val="both"/>
        <w:rPr/>
      </w:pPr>
      <w:r>
        <w:rPr/>
        <w:t>Подавая заявку на участие, участник принимает и соглашается с условиями настоящей аукционной документации.</w:t>
      </w:r>
    </w:p>
    <w:p>
      <w:pPr>
        <w:pStyle w:val="Normal"/>
        <w:ind w:firstLine="540"/>
        <w:jc w:val="both"/>
        <w:rPr/>
      </w:pPr>
      <w:r>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рассмотрения заявок на участие в аукционе.</w:t>
      </w:r>
    </w:p>
    <w:p>
      <w:pPr>
        <w:pStyle w:val="Normal"/>
        <w:ind w:firstLine="540"/>
        <w:jc w:val="both"/>
        <w:rPr/>
      </w:pPr>
      <w:r>
        <w:rPr/>
        <w:t>Документооборот между Претендентами, участниками аукциона, и Организатором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аренды, который заключается в простой письменной форме.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либо Организатора аукциона и отправитель несет ответственность за подлинность и достоверность таких документов и сведений (электронные документы, направляемые Организатором аукциона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аукциона).</w:t>
      </w:r>
    </w:p>
    <w:p>
      <w:pPr>
        <w:pStyle w:val="Normal"/>
        <w:ind w:firstLine="540"/>
        <w:jc w:val="both"/>
        <w:rPr>
          <w:b/>
        </w:rPr>
      </w:pPr>
      <w:r>
        <w:rPr>
          <w:b/>
        </w:rPr>
        <w:t>Рассмотрение заявок.</w:t>
      </w:r>
    </w:p>
    <w:p>
      <w:pPr>
        <w:pStyle w:val="Normal"/>
        <w:ind w:firstLine="540"/>
        <w:jc w:val="both"/>
        <w:rPr>
          <w:b w:val="false"/>
          <w:bCs w:val="false"/>
        </w:rPr>
      </w:pPr>
      <w:r>
        <w:rPr>
          <w:b w:val="false"/>
          <w:bCs w:val="false"/>
        </w:rPr>
        <w:t>Прием документов прекращается не ранее чем за три рабочих дня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pPr>
        <w:pStyle w:val="Normal"/>
        <w:ind w:firstLine="540"/>
        <w:jc w:val="both"/>
        <w:rPr>
          <w:rFonts w:ascii="Times New Roman" w:hAnsi="Times New Roman"/>
          <w:b w:val="false"/>
          <w:bCs w:val="false"/>
          <w:i w:val="false"/>
          <w:i w:val="false"/>
          <w:caps w:val="false"/>
          <w:smallCaps w:val="false"/>
          <w:color w:val="000000"/>
          <w:spacing w:val="0"/>
          <w:sz w:val="24"/>
          <w:szCs w:val="24"/>
        </w:rPr>
      </w:pPr>
      <w:r>
        <w:rPr>
          <w:b w:val="false"/>
          <w:bCs w:val="false"/>
          <w:i w:val="false"/>
          <w:caps w:val="false"/>
          <w:smallCaps w:val="false"/>
          <w:color w:val="000000"/>
          <w:spacing w:val="0"/>
          <w:sz w:val="24"/>
          <w:szCs w:val="24"/>
        </w:rPr>
        <w:t>Срок рассмотрения заявок на участие в аукционе не может превышать три рабочих дня с даты окончания срока приема документов.</w:t>
      </w:r>
    </w:p>
    <w:p>
      <w:pPr>
        <w:pStyle w:val="555"/>
        <w:rPr>
          <w:rFonts w:ascii="Times New Roman" w:hAnsi="Times New Roman"/>
          <w:bCs/>
          <w:iCs/>
          <w:sz w:val="24"/>
          <w:szCs w:val="24"/>
        </w:rPr>
      </w:pPr>
      <w:r>
        <w:rPr>
          <w:rFonts w:ascii="Times New Roman" w:hAnsi="Times New Roman"/>
          <w:bCs/>
          <w:iCs/>
          <w:sz w:val="24"/>
          <w:szCs w:val="24"/>
        </w:rPr>
        <w:t xml:space="preserve">     </w:t>
      </w:r>
      <w:r>
        <w:rPr>
          <w:rFonts w:ascii="Times New Roman" w:hAnsi="Times New Roman"/>
          <w:bCs/>
          <w:iCs/>
          <w:sz w:val="24"/>
          <w:szCs w:val="24"/>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pPr>
        <w:pStyle w:val="555"/>
        <w:ind w:hanging="0"/>
        <w:rPr/>
      </w:pPr>
      <w:r>
        <w:rPr>
          <w:rFonts w:ascii="Times New Roman" w:hAnsi="Times New Roman"/>
          <w:b w:val="false"/>
          <w:i w:val="false"/>
          <w:caps w:val="false"/>
          <w:smallCaps w:val="false"/>
          <w:color w:val="000000"/>
          <w:spacing w:val="0"/>
          <w:sz w:val="24"/>
          <w:szCs w:val="24"/>
        </w:rPr>
        <w:tab/>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w:t>
      </w:r>
    </w:p>
    <w:p>
      <w:pPr>
        <w:pStyle w:val="555"/>
        <w:ind w:hanging="0"/>
        <w:rPr>
          <w:rFonts w:ascii="Times New Roman" w:hAnsi="Times New Roman"/>
          <w:bCs/>
          <w:iCs/>
          <w:sz w:val="24"/>
          <w:szCs w:val="24"/>
        </w:rPr>
      </w:pPr>
      <w:r>
        <w:rPr>
          <w:rFonts w:ascii="Times New Roman" w:hAnsi="Times New Roman"/>
          <w:bCs/>
          <w:iCs/>
          <w:sz w:val="24"/>
          <w:szCs w:val="24"/>
        </w:rPr>
        <w:tab/>
        <w:t>Претендент не допускается к участию в аукционе в следующих случаях:</w:t>
      </w:r>
    </w:p>
    <w:p>
      <w:pPr>
        <w:pStyle w:val="ListParagraph"/>
        <w:widowControl w:val="false"/>
        <w:numPr>
          <w:ilvl w:val="0"/>
          <w:numId w:val="0"/>
        </w:numPr>
        <w:suppressAutoHyphens w:val="true"/>
        <w:bidi w:val="0"/>
        <w:spacing w:lineRule="auto" w:line="240" w:before="0" w:after="0"/>
        <w:ind w:hanging="0" w:left="0" w:right="0"/>
        <w:contextualSpacing/>
        <w:jc w:val="both"/>
        <w:rPr>
          <w:rFonts w:eastAsia="Arial" w:cs="Times New Roman"/>
          <w:bCs/>
          <w:iCs/>
          <w:kern w:val="0"/>
          <w:lang w:eastAsia="ar-SA" w:bidi="ar-SA"/>
        </w:rPr>
      </w:pPr>
      <w:r>
        <w:rPr>
          <w:rFonts w:eastAsia="Arial" w:cs="Times New Roman"/>
          <w:bCs/>
          <w:iCs/>
          <w:kern w:val="0"/>
          <w:lang w:eastAsia="ar-SA" w:bidi="ar-SA"/>
        </w:rPr>
        <w:t xml:space="preserve">   </w:t>
      </w:r>
      <w:r>
        <w:rPr>
          <w:rFonts w:eastAsia="Arial" w:cs="Times New Roman"/>
          <w:bCs/>
          <w:iCs/>
          <w:kern w:val="0"/>
          <w:lang w:eastAsia="ar-SA" w:bidi="ar-SA"/>
        </w:rPr>
        <w:t>1) непредставление необходимых для участия в аукционе документов или представление недостоверных сведений;</w:t>
      </w:r>
    </w:p>
    <w:p>
      <w:pPr>
        <w:pStyle w:val="Normal"/>
        <w:ind w:firstLine="540"/>
        <w:jc w:val="both"/>
        <w:rPr>
          <w:rFonts w:eastAsia="Arial" w:cs="Times New Roman"/>
          <w:bCs/>
          <w:iCs/>
          <w:kern w:val="0"/>
          <w:lang w:eastAsia="ar-SA" w:bidi="ar-SA"/>
        </w:rPr>
      </w:pPr>
      <w:r>
        <w:rPr>
          <w:rFonts w:eastAsia="Arial" w:cs="Times New Roman"/>
          <w:bCs/>
          <w:iCs/>
          <w:kern w:val="0"/>
          <w:lang w:eastAsia="ar-SA" w:bidi="ar-SA"/>
        </w:rPr>
        <w:t>2) непоступление задатка на дату рассмотрения заявок на участие в аукционе;</w:t>
      </w:r>
    </w:p>
    <w:p>
      <w:pPr>
        <w:pStyle w:val="Normal"/>
        <w:ind w:firstLine="540"/>
        <w:jc w:val="both"/>
        <w:rPr>
          <w:rFonts w:eastAsia="Arial" w:cs="Times New Roman"/>
          <w:bCs/>
          <w:iCs/>
          <w:kern w:val="0"/>
          <w:lang w:eastAsia="ar-SA" w:bidi="ar-SA"/>
        </w:rPr>
      </w:pPr>
      <w:r>
        <w:rPr>
          <w:rFonts w:eastAsia="Arial" w:cs="Times New Roman"/>
          <w:bCs/>
          <w:iCs/>
          <w:kern w:val="0"/>
          <w:lang w:eastAsia="ar-SA" w:bidi="ar-SA"/>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pPr>
        <w:pStyle w:val="Normal"/>
        <w:ind w:firstLine="540"/>
        <w:jc w:val="both"/>
        <w:rPr/>
      </w:pPr>
      <w:r>
        <w:rPr>
          <w:rFonts w:eastAsia="Arial" w:cs="Times New Roman"/>
          <w:bCs/>
          <w:iCs/>
          <w:kern w:val="0"/>
          <w:lang w:eastAsia="ar-SA" w:bidi="ar-SA"/>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pPr>
        <w:pStyle w:val="Normal"/>
        <w:ind w:firstLine="540"/>
        <w:jc w:val="both"/>
        <w:rPr/>
      </w:pPr>
      <w:r>
        <w:rPr/>
        <w:t>Если за один рабочий день до даты окончания приема заявок не поступило ни одной заявки, уполномоченный орган может продлить срок их подачи по правилам п. 22.1 ст. 39.11 ЗК РФ. Если организатор торгов - специализированная организация, за один рабочий день до даты окончания приема заявок оператор электронной площадки уведомит уполномоченный орган об их отсутствии (п. 22.2 ст. 39.11 ЗК РФ).</w:t>
      </w:r>
    </w:p>
    <w:p>
      <w:pPr>
        <w:pStyle w:val="Normal"/>
        <w:ind w:firstLine="540"/>
        <w:jc w:val="both"/>
        <w:rPr/>
      </w:pPr>
      <w:r>
        <w:rPr>
          <w:b/>
        </w:rPr>
        <w:t>Порядок проведения аукциона.</w:t>
      </w:r>
    </w:p>
    <w:p>
      <w:pPr>
        <w:pStyle w:val="Normal"/>
        <w:ind w:firstLine="540"/>
        <w:jc w:val="both"/>
        <w:rPr>
          <w:b w:val="false"/>
          <w:bCs w:val="false"/>
        </w:rPr>
      </w:pPr>
      <w:r>
        <w:rPr>
          <w:b w:val="false"/>
          <w:bCs w:val="false"/>
        </w:rPr>
        <w:t xml:space="preserve"> </w:t>
      </w:r>
      <w:r>
        <w:rPr>
          <w:b w:val="false"/>
          <w:bCs w:val="false"/>
        </w:rPr>
        <w:t>В ходе проведения аукциона участники аукциона подают предложения о цене предмета аукциона в соответствии со следующими требованиями:</w:t>
      </w:r>
    </w:p>
    <w:p>
      <w:pPr>
        <w:pStyle w:val="Normal"/>
        <w:ind w:firstLine="540"/>
        <w:jc w:val="both"/>
        <w:rPr>
          <w:b w:val="false"/>
          <w:bCs w:val="false"/>
        </w:rPr>
      </w:pPr>
      <w:r>
        <w:rPr>
          <w:b w:val="false"/>
          <w:bCs w:val="false"/>
        </w:rPr>
        <w:t>1) предложение о цене предмета аукциона увеличивает текущее максимальное предложение о цене предмета аукциона на величину "шага аукциона";</w:t>
      </w:r>
    </w:p>
    <w:p>
      <w:pPr>
        <w:pStyle w:val="Normal"/>
        <w:ind w:firstLine="540"/>
        <w:jc w:val="both"/>
        <w:rPr/>
      </w:pPr>
      <w:r>
        <w:rPr>
          <w:b w:val="false"/>
          <w:bCs w:val="false"/>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pPr>
        <w:pStyle w:val="Normal"/>
        <w:ind w:firstLine="540"/>
        <w:jc w:val="both"/>
        <w:rPr/>
      </w:pPr>
      <w:r>
        <w:rPr/>
        <w:t xml:space="preserve"> </w:t>
      </w:r>
      <w:r>
        <w:rPr/>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pPr>
        <w:pStyle w:val="Normal"/>
        <w:ind w:firstLine="540"/>
        <w:jc w:val="both"/>
        <w:rPr/>
      </w:pPr>
      <w:r>
        <w:rPr/>
        <w:t xml:space="preserve">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w:t>
      </w:r>
    </w:p>
    <w:p>
      <w:pPr>
        <w:pStyle w:val="Normal"/>
        <w:jc w:val="both"/>
        <w:rPr/>
      </w:pPr>
      <w:r>
        <w:rPr/>
        <w:t xml:space="preserve">         </w:t>
      </w:r>
      <w:r>
        <w:rPr>
          <w:b/>
        </w:rPr>
        <w:t>Порядок определения победителя.</w:t>
      </w:r>
    </w:p>
    <w:p>
      <w:pPr>
        <w:pStyle w:val="Normal"/>
        <w:jc w:val="both"/>
        <w:rPr/>
      </w:pPr>
      <w:r>
        <w:rPr>
          <w:sz w:val="24"/>
        </w:rPr>
        <w:tab/>
        <w:t>Им является участник, предложивший наибольший размер ежегодной арендной платы (</w:t>
      </w:r>
      <w:hyperlink r:id="rId4" w:tgtFrame="&quot;Земельный кодекс Российской Федерации">
        <w:r>
          <w:rPr>
            <w:rStyle w:val="ListLabel20"/>
            <w:color w:val="0000FF"/>
            <w:sz w:val="24"/>
          </w:rPr>
          <w:t>п. 17 ст. 39.12</w:t>
        </w:r>
      </w:hyperlink>
      <w:r>
        <w:rPr>
          <w:sz w:val="24"/>
        </w:rPr>
        <w:t xml:space="preserve"> ЗК РФ).</w:t>
      </w:r>
      <w:r>
        <w:rPr/>
        <w:t xml:space="preserve"> </w:t>
      </w:r>
    </w:p>
    <w:p>
      <w:pPr>
        <w:pStyle w:val="Normal"/>
        <w:jc w:val="both"/>
        <w:rPr/>
      </w:pPr>
      <w:r>
        <w:rPr/>
        <w:t xml:space="preserve">         </w:t>
      </w:r>
      <w:r>
        <w:rPr/>
        <w:t xml:space="preserve">В том случае, если несколькими Участниками будут поданы равные предложения о цене, лучшим признается предложение о цене, поступившее ранее других предложений.    </w:t>
      </w:r>
    </w:p>
    <w:p>
      <w:pPr>
        <w:pStyle w:val="Normal"/>
        <w:jc w:val="both"/>
        <w:rPr/>
      </w:pPr>
      <w:r>
        <w:rPr/>
        <w:t xml:space="preserve">         </w:t>
      </w:r>
      <w:r>
        <w:rPr/>
        <w:t>Победитель аукциона определяется Организатором торгов на основании журнала хода торгов и требований аукционной документации.</w:t>
      </w:r>
    </w:p>
    <w:p>
      <w:pPr>
        <w:pStyle w:val="Normal"/>
        <w:jc w:val="both"/>
        <w:rPr>
          <w:b/>
        </w:rPr>
      </w:pPr>
      <w:r>
        <w:rPr>
          <w:b/>
        </w:rPr>
        <w:t xml:space="preserve">          </w:t>
      </w:r>
      <w:r>
        <w:rPr>
          <w:b/>
        </w:rPr>
        <w:t>Порядок завершения процедуры.</w:t>
      </w:r>
    </w:p>
    <w:p>
      <w:pPr>
        <w:pStyle w:val="Normal"/>
        <w:jc w:val="both"/>
        <w:rPr/>
      </w:pPr>
      <w:r>
        <w:rPr>
          <w:b w:val="false"/>
          <w:bCs w:val="false"/>
        </w:rPr>
        <w:tab/>
        <w:t>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pPr>
        <w:pStyle w:val="Normal"/>
        <w:jc w:val="both"/>
        <w:rPr>
          <w:b/>
          <w:bCs/>
          <w:u w:val="single"/>
        </w:rPr>
      </w:pPr>
      <w:r>
        <w:rPr>
          <w:b/>
          <w:bCs/>
          <w:u w:val="none"/>
        </w:rPr>
        <w:t xml:space="preserve">     </w:t>
      </w:r>
      <w:r>
        <w:rPr>
          <w:b/>
          <w:bCs/>
          <w:u w:val="none"/>
          <w:shd w:fill="auto" w:val="clear"/>
        </w:rPr>
        <w:t xml:space="preserve">     </w:t>
      </w:r>
      <w:r>
        <w:rPr>
          <w:b/>
          <w:bCs/>
          <w:u w:val="single"/>
          <w:shd w:fill="auto" w:val="clear"/>
        </w:rPr>
        <w:t>Процедура признается несостоявшейся в случае:</w:t>
      </w:r>
    </w:p>
    <w:p>
      <w:pPr>
        <w:pStyle w:val="Normal"/>
        <w:jc w:val="both"/>
        <w:rPr>
          <w:highlight w:val="none"/>
          <w:shd w:fill="auto" w:val="clear"/>
        </w:rPr>
      </w:pPr>
      <w:r>
        <w:rPr>
          <w:shd w:fill="auto" w:val="clear"/>
        </w:rPr>
        <w:tab/>
        <w:t>Если по окончании срока подачи заявок не подано ни одной заявки, подана только одна заявка, всем заявителям отказано в допуске или допущен к участию и признан участником аукциона только один заявитель, аукцион признается несостоявшимся (п. 12 ст. 39.12 ЗК РФ).</w:t>
      </w:r>
    </w:p>
    <w:p>
      <w:pPr>
        <w:pStyle w:val="Normal"/>
        <w:jc w:val="both"/>
        <w:rPr>
          <w:highlight w:val="none"/>
          <w:shd w:fill="FFFF00" w:val="clear"/>
        </w:rPr>
      </w:pPr>
      <w:r>
        <w:rPr>
          <w:shd w:fill="auto" w:val="clear"/>
        </w:rPr>
        <w:tab/>
      </w:r>
      <w:r>
        <w:rPr>
          <w:sz w:val="24"/>
          <w:shd w:fill="auto" w:val="clear"/>
        </w:rPr>
        <w:t>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 участвовавшим в электронном аукционе, но не победившим в нем, за исключением участника аукциона, который сделал предпоследнее предложение о цене предмета электронного аукциона, в течение трех рабочих дней со дня подписания протокола о результатах электронного аукциона. Денежные средства в размере задатка, внесенные участником аукциона, который сделал предпоследнее предложение о цене предмета электронного аукциона, возвращаются ему в течение трех рабочих дней со дня подписания договора купли-продажи или договора аренды земельного участка победителем аукциона.</w:t>
      </w:r>
    </w:p>
    <w:p>
      <w:pPr>
        <w:pStyle w:val="Normal"/>
        <w:jc w:val="both"/>
        <w:rPr/>
      </w:pPr>
      <w:r>
        <w:rPr/>
        <w:t xml:space="preserve">          </w:t>
      </w:r>
      <w:r>
        <w:rPr/>
        <w:t xml:space="preserve">В течение 1 (одного) рабочего дня с даты опубликования протокола подведения итогов Оператор прекращает блокирование денежных средств (задатка) Участников, принявших участие в процедуре, кроме денежных средств Победителя/единственного участника и Участников, занявшие второе и третье места.      </w:t>
      </w:r>
    </w:p>
    <w:p>
      <w:pPr>
        <w:pStyle w:val="Normal"/>
        <w:jc w:val="both"/>
        <w:rPr/>
      </w:pPr>
      <w:r>
        <w:rPr/>
        <w:t xml:space="preserve">           </w:t>
      </w:r>
      <w:r>
        <w:rPr/>
        <w:t>В случае уклонения или отказа Победителя от заключения договора Организатор торгов публикует протокол отказа заключения договора.</w:t>
      </w:r>
    </w:p>
    <w:p>
      <w:pPr>
        <w:pStyle w:val="Normal"/>
        <w:jc w:val="both"/>
        <w:rPr/>
      </w:pPr>
      <w:r>
        <w:rPr/>
        <w:t xml:space="preserve">           </w:t>
      </w:r>
      <w:r>
        <w:rPr/>
        <w:t>Организатор торгов вправе заключить договор аренды с Участником, занявшим второе место, в случае отказа или уклонения Победителя от заключения договора. В этом случае Оператор продолжает блокировать задаток Участника, занявшего второе место, до заключения с ним договора аренды в срок, указанный в документации к процедуре.</w:t>
      </w:r>
    </w:p>
    <w:p>
      <w:pPr>
        <w:pStyle w:val="Normal"/>
        <w:jc w:val="both"/>
        <w:rPr/>
      </w:pPr>
      <w:r>
        <w:rPr/>
        <w:t xml:space="preserve">            </w:t>
      </w:r>
      <w:r>
        <w:rPr/>
        <w:t>В случае отказа или уклонения Победителя, Участника, занявшего второе место, от подписания договора аренды в течение срока для заключения такого договора, установленного в документации к процедуре, внесенный задаток не возвращается и перечисляется на счет Организатора торгов.</w:t>
      </w:r>
    </w:p>
    <w:p>
      <w:pPr>
        <w:pStyle w:val="Normal"/>
        <w:jc w:val="both"/>
        <w:rPr>
          <w:b/>
        </w:rPr>
      </w:pPr>
      <w:r>
        <w:rPr/>
        <w:t xml:space="preserve">          </w:t>
      </w:r>
      <w:r>
        <w:rPr>
          <w:b/>
        </w:rPr>
        <w:t>Порядок заключения договора</w:t>
      </w:r>
    </w:p>
    <w:p>
      <w:pPr>
        <w:pStyle w:val="Normal"/>
        <w:jc w:val="both"/>
        <w:rPr/>
      </w:pPr>
      <w:r>
        <w:rPr/>
        <w:t xml:space="preserve"> </w:t>
      </w:r>
      <w:r>
        <w:rPr/>
        <w:tab/>
        <w:t xml:space="preserve"> </w:t>
      </w:r>
      <w:r>
        <w:rPr>
          <w:rFonts w:eastAsia="Times New Roman" w:cs="Times New Roman"/>
          <w:b w:val="false"/>
          <w:bCs w:val="false"/>
          <w:i w:val="false"/>
          <w:iCs w:val="false"/>
          <w:color w:val="FF0000"/>
          <w:sz w:val="24"/>
          <w:szCs w:val="24"/>
          <w:lang w:eastAsia="ru-RU"/>
        </w:rPr>
        <w:t xml:space="preserve">Внимание! </w:t>
      </w:r>
      <w:r>
        <w:rPr>
          <w:rFonts w:eastAsia="Times New Roman" w:cs="Times New Roman"/>
          <w:color w:val="000000"/>
          <w:sz w:val="24"/>
          <w:szCs w:val="24"/>
          <w:lang w:eastAsia="ru-RU"/>
        </w:rPr>
        <w:t xml:space="preserve">Допускается взимание оператором электронной площадки с победителя электронного аукциона или иных лиц, с которыми в соответствии с пунктами 13, 14, 20 и 25 статьи 39.12 настоящего Кодекса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(Постановление Правительства РФ от 10 мая 2018 г. N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 в соответствии с Регламентом Оператора электронной площадки и Инструкциями, размещенными на электронной площадке:  </w:t>
      </w:r>
      <w:hyperlink r:id="rId5">
        <w:r>
          <w:rPr>
            <w:rStyle w:val="Hyperlink"/>
            <w:rFonts w:eastAsia="Times New Roman" w:cs="Times New Roman"/>
            <w:color w:val="000000"/>
            <w:sz w:val="24"/>
            <w:szCs w:val="24"/>
            <w:lang w:eastAsia="ru-RU"/>
          </w:rPr>
          <w:t>https://www.rts-tender.ru/tariffs/platform-property-sales-tariffs</w:t>
        </w:r>
      </w:hyperlink>
      <w:r>
        <w:rPr>
          <w:rStyle w:val="Hyperlink"/>
          <w:rFonts w:eastAsia="Times New Roman" w:cs="Times New Roman"/>
          <w:color w:val="000000"/>
          <w:sz w:val="24"/>
          <w:szCs w:val="24"/>
          <w:lang w:eastAsia="ru-RU"/>
        </w:rPr>
        <w:t xml:space="preserve"> </w:t>
      </w:r>
      <w:r>
        <w:rPr>
          <w:rFonts w:eastAsia="Times New Roman" w:cs="Times New Roman"/>
          <w:color w:val="000000"/>
          <w:sz w:val="24"/>
          <w:szCs w:val="24"/>
          <w:lang w:eastAsia="ru-RU"/>
        </w:rPr>
        <w:t xml:space="preserve"> (далее — Гарантийное обеспечение оплаты оказания услуг).</w:t>
      </w:r>
    </w:p>
    <w:p>
      <w:pPr>
        <w:pStyle w:val="Normal"/>
        <w:jc w:val="both"/>
        <w:rPr/>
      </w:pPr>
      <w:r>
        <w:rPr/>
        <w:tab/>
        <w:t xml:space="preserve">По вопросам получения дополнительной информации о возможности участия в торгах на электронной площадке обращаться в Службу технической поддержки </w:t>
      </w:r>
      <w:hyperlink r:id="rId6">
        <w:r>
          <w:rPr>
            <w:rStyle w:val="Hyperlink"/>
          </w:rPr>
          <w:t>nfo@rts-tender.ru</w:t>
        </w:r>
      </w:hyperlink>
      <w:r>
        <w:rPr/>
        <w:t xml:space="preserve"> .</w:t>
      </w:r>
    </w:p>
    <w:p>
      <w:pPr>
        <w:pStyle w:val="Normal"/>
        <w:jc w:val="both"/>
        <w:rPr/>
      </w:pPr>
      <w:r>
        <w:rPr/>
        <w:t xml:space="preserve">      </w:t>
      </w:r>
      <w:r>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pPr>
        <w:pStyle w:val="Normal"/>
        <w:jc w:val="both"/>
        <w:rPr/>
      </w:pPr>
      <w:r>
        <w:rPr/>
        <w:tab/>
        <w:t>Уполномоченный орган обязан в течение пяти дней со дня истечения срока, предусмотренного пунктом 11 настоящей статьи, направить победителю электронного аукциона или иным лицам, с которыми в соответствии с пунктами 13, 14, 20 и 25 статьи 39.12 ЗК РФ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подписанный проект договора купли-продажи земельного участка, находящегося в государственной или муниципальной собственности, либо подписанный проект договора аренды такого участка.</w:t>
      </w:r>
    </w:p>
    <w:p>
      <w:pPr>
        <w:pStyle w:val="Normal"/>
        <w:jc w:val="both"/>
        <w:rPr/>
      </w:pPr>
      <w:r>
        <w:rPr/>
        <w:tab/>
        <w:t>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w:t>
      </w:r>
    </w:p>
    <w:p>
      <w:pPr>
        <w:pStyle w:val="Normal"/>
        <w:jc w:val="both"/>
        <w:rPr/>
      </w:pPr>
      <w:r>
        <w:rPr/>
        <w:tab/>
        <w:t>Нельзя заключить договор, не соответствующий условиям извещения и сведениям, содержащимся в протоколе о результатах электронного аукциона (в протоколе рассмотрения заявок, если аукцион признан несостоявшимся) (п. 20.1 ст. 39.12 ЗК РФ).</w:t>
      </w:r>
    </w:p>
    <w:p>
      <w:pPr>
        <w:pStyle w:val="Normal"/>
        <w:jc w:val="both"/>
        <w:rPr/>
      </w:pPr>
      <w:r>
        <w:rPr/>
        <w:tab/>
        <w:t>Если через 10 рабочих дней победитель не представит подписанный договор, он считается уклонившимся от его заключения. Если победитель был единственным участником, можно провести повторный аукцион, а если нет, то нужно направить договор участнику, сделавшему предпоследнее предложение. В этом случае договор заключается по предложенной им цене (п. п. 23, 25 ст. 39.12 ЗК РФ).</w:t>
      </w:r>
    </w:p>
    <w:p>
      <w:pPr>
        <w:pStyle w:val="Normal"/>
        <w:jc w:val="both"/>
        <w:rPr/>
      </w:pPr>
      <w:r>
        <w:rPr/>
        <w:t>Если и участник, сделавший предпоследнее предложение, не подписал договор, то можно провести повторный аукцион (п. 26 ст. 39.12 ЗК РФ).</w:t>
      </w:r>
    </w:p>
    <w:p>
      <w:pPr>
        <w:pStyle w:val="Normal"/>
        <w:jc w:val="both"/>
        <w:rPr/>
      </w:pPr>
      <w:r>
        <w:rPr/>
        <w:tab/>
        <w:t>Условия договора, заключаемого по результатам торгов: прилагаются (в форме проекта договора аренды земельного участка).</w:t>
      </w:r>
    </w:p>
    <w:p>
      <w:pPr>
        <w:pStyle w:val="Normal"/>
        <w:rPr/>
      </w:pPr>
      <w:r>
        <w:rPr/>
      </w:r>
    </w:p>
    <w:sectPr>
      <w:type w:val="nextPage"/>
      <w:pgSz w:w="11906" w:h="16838"/>
      <w:pgMar w:left="1758"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Arial">
    <w:charset w:val="01"/>
    <w:family w:val="roman"/>
    <w:pitch w:val="default"/>
  </w:font>
  <w:font w:name="PT Astra Serif">
    <w:charset w:val="01"/>
    <w:family w:val="roman"/>
    <w:pitch w:val="default"/>
  </w:font>
  <w:font w:name="FreeSetC">
    <w:charset w:val="01"/>
    <w:family w:val="roman"/>
    <w:pitch w:val="default"/>
  </w:font>
</w:fonts>
</file>

<file path=word/settings.xml><?xml version="1.0" encoding="utf-8"?>
<w:settings xmlns:w="http://schemas.openxmlformats.org/wordprocessingml/2006/main">
  <w:zoom w:percent="18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9321f"/>
    <w:pPr>
      <w:widowControl w:val="false"/>
      <w:suppressAutoHyphens w:val="true"/>
      <w:bidi w:val="0"/>
      <w:spacing w:lineRule="auto" w:line="240" w:before="0" w:after="0"/>
      <w:jc w:val="left"/>
    </w:pPr>
    <w:rPr>
      <w:rFonts w:ascii="Times New Roman" w:hAnsi="Times New Roman" w:eastAsia="SimSun" w:cs="Tahoma"/>
      <w:color w:val="auto"/>
      <w:kern w:val="2"/>
      <w:sz w:val="24"/>
      <w:szCs w:val="24"/>
      <w:lang w:val="ru-RU" w:eastAsia="hi-IN" w:bidi="hi-IN"/>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rsid w:val="0099321f"/>
    <w:rPr>
      <w:rFonts w:cs="Times New Roman"/>
      <w:color w:val="0000FF"/>
      <w:u w:val="single"/>
    </w:rPr>
  </w:style>
  <w:style w:type="character" w:styleId="Style14" w:customStyle="1">
    <w:name w:val="Основной текст с отступом Знак"/>
    <w:basedOn w:val="DefaultParagraphFont"/>
    <w:uiPriority w:val="99"/>
    <w:semiHidden/>
    <w:qFormat/>
    <w:rsid w:val="0099321f"/>
    <w:rPr>
      <w:rFonts w:ascii="Times New Roman" w:hAnsi="Times New Roman" w:eastAsia="Times New Roman" w:cs="Times New Roman"/>
      <w:sz w:val="24"/>
      <w:szCs w:val="20"/>
      <w:lang w:eastAsia="ru-RU"/>
    </w:rPr>
  </w:style>
  <w:style w:type="character" w:styleId="Style15" w:customStyle="1">
    <w:name w:val="Основной текст Знак"/>
    <w:basedOn w:val="DefaultParagraphFont"/>
    <w:uiPriority w:val="99"/>
    <w:qFormat/>
    <w:rsid w:val="0099321f"/>
    <w:rPr>
      <w:rFonts w:ascii="Times New Roman" w:hAnsi="Times New Roman" w:eastAsia="Calibri" w:cs="Times New Roman"/>
      <w:sz w:val="28"/>
      <w:szCs w:val="20"/>
      <w:lang w:eastAsia="ru-RU"/>
    </w:rPr>
  </w:style>
  <w:style w:type="character" w:styleId="ConsPlusNormal" w:customStyle="1">
    <w:name w:val="ConsPlusNormal Знак"/>
    <w:link w:val="ConsPlusNormal1"/>
    <w:uiPriority w:val="99"/>
    <w:qFormat/>
    <w:locked/>
    <w:rsid w:val="0099321f"/>
    <w:rPr>
      <w:rFonts w:ascii="Arial" w:hAnsi="Arial" w:eastAsia="Calibri" w:cs="Times New Roman"/>
      <w:lang w:eastAsia="ar-SA"/>
    </w:rPr>
  </w:style>
  <w:style w:type="character" w:styleId="Style16">
    <w:name w:val="Символ нумерации"/>
    <w:qFormat/>
    <w:rPr/>
  </w:style>
  <w:style w:type="paragraph" w:styleId="Style17">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link w:val="Style15"/>
    <w:uiPriority w:val="99"/>
    <w:rsid w:val="0099321f"/>
    <w:pPr>
      <w:widowControl/>
      <w:suppressAutoHyphens w:val="false"/>
      <w:spacing w:before="0" w:after="120"/>
    </w:pPr>
    <w:rPr>
      <w:rFonts w:eastAsia="Calibri" w:cs="Times New Roman"/>
      <w:kern w:val="0"/>
      <w:sz w:val="28"/>
      <w:szCs w:val="20"/>
      <w:lang w:eastAsia="ru-RU" w:bidi="ar-SA"/>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paragraph" w:styleId="BodyTextIndent">
    <w:name w:val="Body Text Indent"/>
    <w:basedOn w:val="Normal"/>
    <w:link w:val="Style14"/>
    <w:uiPriority w:val="99"/>
    <w:semiHidden/>
    <w:rsid w:val="0099321f"/>
    <w:pPr>
      <w:widowControl/>
      <w:suppressAutoHyphens w:val="false"/>
      <w:ind w:firstLine="720"/>
      <w:jc w:val="both"/>
    </w:pPr>
    <w:rPr>
      <w:rFonts w:eastAsia="Times New Roman" w:cs="Times New Roman"/>
      <w:kern w:val="0"/>
      <w:szCs w:val="20"/>
      <w:lang w:eastAsia="ru-RU" w:bidi="ar-SA"/>
    </w:rPr>
  </w:style>
  <w:style w:type="paragraph" w:styleId="555" w:customStyle="1">
    <w:name w:val="+++555"/>
    <w:basedOn w:val="Normal"/>
    <w:qFormat/>
    <w:rsid w:val="0099321f"/>
    <w:pPr>
      <w:widowControl/>
      <w:spacing w:lineRule="atLeast" w:line="180" w:before="28" w:after="0"/>
      <w:ind w:firstLine="113"/>
      <w:jc w:val="both"/>
    </w:pPr>
    <w:rPr>
      <w:rFonts w:ascii="FreeSetC" w:hAnsi="FreeSetC" w:eastAsia="Arial" w:cs="Times New Roman"/>
      <w:kern w:val="0"/>
      <w:sz w:val="16"/>
      <w:szCs w:val="16"/>
      <w:lang w:eastAsia="ar-SA" w:bidi="ar-SA"/>
    </w:rPr>
  </w:style>
  <w:style w:type="paragraph" w:styleId="ListParagraph">
    <w:name w:val="List Paragraph"/>
    <w:basedOn w:val="Normal"/>
    <w:uiPriority w:val="99"/>
    <w:qFormat/>
    <w:rsid w:val="0099321f"/>
    <w:pPr>
      <w:spacing w:before="0" w:after="0"/>
      <w:ind w:left="720"/>
      <w:contextualSpacing/>
    </w:pPr>
    <w:rPr>
      <w:rFonts w:cs="Mangal"/>
      <w:szCs w:val="21"/>
    </w:rPr>
  </w:style>
  <w:style w:type="paragraph" w:styleId="ConsPlusNormal1" w:customStyle="1">
    <w:name w:val="ConsPlusNormal"/>
    <w:link w:val="ConsPlusNormal"/>
    <w:uiPriority w:val="99"/>
    <w:qFormat/>
    <w:rsid w:val="0099321f"/>
    <w:pPr>
      <w:widowControl w:val="false"/>
      <w:suppressAutoHyphens w:val="true"/>
      <w:bidi w:val="0"/>
      <w:spacing w:lineRule="auto" w:line="240" w:before="0" w:after="0"/>
      <w:ind w:firstLine="720"/>
      <w:jc w:val="left"/>
    </w:pPr>
    <w:rPr>
      <w:rFonts w:ascii="Arial" w:hAnsi="Arial" w:eastAsia="Calibri" w:cs="Times New Roman" w:eastAsiaTheme="minorHAnsi"/>
      <w:color w:val="auto"/>
      <w:kern w:val="0"/>
      <w:sz w:val="22"/>
      <w:szCs w:val="22"/>
      <w:lang w:val="ru-RU" w:eastAsia="ar-SA"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torgi.gov.ru/" TargetMode="External"/><Relationship Id="rId3" Type="http://schemas.openxmlformats.org/officeDocument/2006/relationships/hyperlink" Target="http://www.rts-tender.ru/" TargetMode="External"/><Relationship Id="rId4" Type="http://schemas.openxmlformats.org/officeDocument/2006/relationships/hyperlink" Target="../../../&#1047;&#1072;&#1075;&#1088;&#1091;&#1079;&#1082;&#1080;/%7B&#1050;&#1086;&#1085;&#1089;&#1091;&#1083;&#1100;&#1090;&#1072;&#1085;&#1090;&#1055;&#1083;&#1102;&#1089;%7D" TargetMode="External"/><Relationship Id="rId5" Type="http://schemas.openxmlformats.org/officeDocument/2006/relationships/hyperlink" Target="https://www.rts-tender.ru/tariffs/platform-property-sales-tariffs" TargetMode="External"/><Relationship Id="rId6" Type="http://schemas.openxmlformats.org/officeDocument/2006/relationships/hyperlink" Target="mailto:nfo@rts-tender.ru" TargetMode="Externa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1361</TotalTime>
  <Application>LibreOffice/7.6.7.2$Linux_X86_64 LibreOffice_project/60$Build-2</Application>
  <AppVersion>15.0000</AppVersion>
  <Pages>6</Pages>
  <Words>2478</Words>
  <Characters>17534</Characters>
  <CharactersWithSpaces>20152</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2025-05-07T08:04:00Z</dcterms:created>
  <dc:creator>User1</dc:creator>
  <dc:description/>
  <dc:language>ru-RU</dc:language>
  <cp:lastModifiedBy/>
  <dcterms:modified xsi:type="dcterms:W3CDTF">2026-10-01T11:18:01Z</dcterms:modified>
  <cp:revision>30</cp:revision>
  <dc:subject/>
  <dc:title/>
</cp:coreProperties>
</file>

<file path=docProps/custom.xml><?xml version="1.0" encoding="utf-8"?>
<Properties xmlns="http://schemas.openxmlformats.org/officeDocument/2006/custom-properties" xmlns:vt="http://schemas.openxmlformats.org/officeDocument/2006/docPropsVTypes"/>
</file>