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Style w:val="Strong"/>
        </w:rPr>
      </w:pPr>
      <w:r>
        <w:rPr>
          <w:rStyle w:val="Strong"/>
        </w:rPr>
        <w:t>ИНФОРМАЦИОННОЕ СООБЩЕНИЕ</w:t>
      </w:r>
    </w:p>
    <w:p>
      <w:pPr>
        <w:pStyle w:val="Normal"/>
        <w:jc w:val="center"/>
        <w:rPr>
          <w:rStyle w:val="Strong"/>
        </w:rPr>
      </w:pPr>
      <w:r>
        <w:rPr>
          <w:rStyle w:val="Strong"/>
        </w:rPr>
        <w:t xml:space="preserve">о проведении аукциона в электронной форме по продаже муниципального имущества – </w:t>
      </w:r>
    </w:p>
    <w:p>
      <w:pPr>
        <w:pStyle w:val="NormalWeb"/>
        <w:spacing w:lineRule="auto" w:line="240" w:beforeAutospacing="0" w:before="0" w:afterAutospacing="0" w:after="0"/>
        <w:ind w:firstLine="567"/>
        <w:rPr>
          <w:color w:val="auto"/>
        </w:rPr>
      </w:pPr>
      <w:r>
        <w:rPr>
          <w:rFonts w:ascii="Times New Roman" w:hAnsi="Times New Roman"/>
          <w:color w:val="auto"/>
          <w:sz w:val="24"/>
          <w:szCs w:val="24"/>
        </w:rPr>
        <w:t>Транспортного средства.</w:t>
      </w:r>
      <w:r>
        <w:rPr>
          <w:color w:val="auto"/>
        </w:rPr>
        <w:t xml:space="preserve"> </w:t>
      </w:r>
    </w:p>
    <w:p>
      <w:pPr>
        <w:pStyle w:val="NormalWeb"/>
        <w:numPr>
          <w:ilvl w:val="0"/>
          <w:numId w:val="1"/>
        </w:numPr>
        <w:spacing w:lineRule="auto" w:line="240" w:beforeAutospacing="0" w:before="0" w:afterAutospacing="0" w:after="0"/>
        <w:ind w:hanging="567" w:left="567"/>
        <w:jc w:val="center"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>Правовое регулирование:</w:t>
      </w:r>
    </w:p>
    <w:p>
      <w:pPr>
        <w:pStyle w:val="NormalWeb"/>
        <w:spacing w:lineRule="auto" w:line="240" w:beforeAutospacing="0" w:before="0" w:afterAutospacing="0" w:after="0"/>
        <w:ind w:firstLine="567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Проведение аукциона на право заключения договора купли-продажи муниципального имущества осуществляется в соответствии с:</w:t>
      </w:r>
    </w:p>
    <w:p>
      <w:pPr>
        <w:pStyle w:val="NormalWeb"/>
        <w:spacing w:lineRule="auto" w:line="240" w:beforeAutospacing="0" w:before="0" w:afterAutospacing="0" w:after="0"/>
        <w:ind w:firstLine="567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- Гражданским Кодексом Российской Федерации;</w:t>
      </w:r>
    </w:p>
    <w:p>
      <w:pPr>
        <w:pStyle w:val="NormalWeb"/>
        <w:spacing w:lineRule="auto" w:line="240" w:beforeAutospacing="0" w:before="0" w:afterAutospacing="0" w:after="0"/>
        <w:ind w:firstLine="567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- Федеральным законом от 21.12 2001 № 178-ФЗ «О приватизации государственного и муниципального имущества»;</w:t>
      </w:r>
    </w:p>
    <w:p>
      <w:pPr>
        <w:pStyle w:val="NormalWeb"/>
        <w:spacing w:lineRule="auto" w:line="240" w:beforeAutospacing="0" w:before="0" w:afterAutospacing="0" w:after="0"/>
        <w:ind w:firstLine="567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-Федеральным законом от 29.07.1998 № 135-ФЗ «Об оценочной деятельности в РФ»; </w:t>
      </w:r>
    </w:p>
    <w:p>
      <w:pPr>
        <w:pStyle w:val="NormalWeb"/>
        <w:spacing w:lineRule="auto" w:line="240" w:beforeAutospacing="0" w:before="0" w:afterAutospacing="0" w:after="0"/>
        <w:ind w:firstLine="567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- Федеральным законом от 26.07.2006 № 135-ФЗ «О защите конкуренции»;</w:t>
      </w:r>
    </w:p>
    <w:p>
      <w:pPr>
        <w:pStyle w:val="NormalWeb"/>
        <w:spacing w:lineRule="auto" w:line="240" w:beforeAutospacing="0" w:before="0" w:afterAutospacing="0" w:after="0"/>
        <w:ind w:firstLine="567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- 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форме»;</w:t>
      </w:r>
    </w:p>
    <w:p>
      <w:pPr>
        <w:pStyle w:val="Normal"/>
        <w:ind w:hanging="0"/>
        <w:jc w:val="both"/>
        <w:rPr/>
      </w:pPr>
      <w:r>
        <w:rPr/>
        <w:t xml:space="preserve">    </w:t>
      </w:r>
      <w:r>
        <w:rPr>
          <w:shd w:fill="auto" w:val="clear"/>
        </w:rPr>
        <w:t xml:space="preserve">     </w:t>
      </w:r>
      <w:r>
        <w:rPr>
          <w:color w:val="000000"/>
          <w:sz w:val="24"/>
          <w:szCs w:val="24"/>
          <w:shd w:fill="auto" w:val="clear"/>
        </w:rPr>
        <w:t>- Положением «О порядке управления и распоряжения муниципальным имуществом Чебулинского муниципального округа», утвержденного решением</w:t>
      </w:r>
      <w:r>
        <w:rPr>
          <w:shd w:fill="auto" w:val="clear"/>
        </w:rPr>
        <w:t xml:space="preserve"> </w:t>
      </w:r>
      <w:r>
        <w:rPr>
          <w:color w:val="000000"/>
          <w:sz w:val="24"/>
          <w:szCs w:val="24"/>
          <w:shd w:fill="auto" w:val="clear"/>
        </w:rPr>
        <w:t>Совета народных депутатов Чебулинского муниципального округа № 379 от 28.09.2023г;</w:t>
      </w:r>
    </w:p>
    <w:p>
      <w:pPr>
        <w:pStyle w:val="Normal"/>
        <w:ind w:hanging="0"/>
        <w:jc w:val="both"/>
        <w:rPr/>
      </w:pPr>
      <w:r>
        <w:rPr>
          <w:b w:val="false"/>
          <w:bCs w:val="false"/>
          <w:sz w:val="24"/>
          <w:szCs w:val="24"/>
          <w:shd w:fill="auto" w:val="clear"/>
        </w:rPr>
        <w:tab/>
        <w:t>- Постановлением администрации Чебулинского муниципального округа № 405-п от 22.10.2026 «Об условиях приватизации муниципального имущества Чебулинского муниципального округа»;</w:t>
      </w:r>
    </w:p>
    <w:p>
      <w:pPr>
        <w:pStyle w:val="NormalWeb"/>
        <w:spacing w:lineRule="auto" w:line="240" w:beforeAutospacing="0" w:before="0" w:afterAutospacing="0" w:after="0"/>
        <w:ind w:firstLine="567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4"/>
          <w:szCs w:val="24"/>
          <w:shd w:fill="auto" w:val="clear"/>
        </w:rPr>
        <w:t>- Отчетом № 038-05-26 «Об оценке рыночной стоимости объекта оценки: автобус  для перевозки детей ПАЗ 32053-70, 2017 г.в.».</w:t>
      </w:r>
    </w:p>
    <w:p>
      <w:pPr>
        <w:pStyle w:val="NormalWeb"/>
        <w:spacing w:lineRule="auto" w:line="240" w:beforeAutospacing="0" w:before="0" w:afterAutospacing="0" w:after="0"/>
        <w:ind w:firstLine="567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</w:r>
    </w:p>
    <w:p>
      <w:pPr>
        <w:pStyle w:val="NormalWeb"/>
        <w:numPr>
          <w:ilvl w:val="0"/>
          <w:numId w:val="1"/>
        </w:numPr>
        <w:spacing w:lineRule="auto" w:line="240" w:beforeAutospacing="0" w:before="0" w:afterAutospacing="0" w:after="0"/>
        <w:ind w:hanging="357" w:left="357"/>
        <w:jc w:val="center"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>Общие сведения об аукционе</w:t>
      </w:r>
    </w:p>
    <w:p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2.1. Продавец:</w:t>
      </w:r>
      <w:r>
        <w:rPr>
          <w:rFonts w:cs="Times New Roman" w:ascii="Times New Roman" w:hAnsi="Times New Roman"/>
          <w:sz w:val="24"/>
          <w:szCs w:val="24"/>
        </w:rPr>
        <w:t xml:space="preserve"> Комитет по управлению муниципальным имуществом Чебулинского муниципального округа.</w:t>
      </w:r>
    </w:p>
    <w:p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Адрес местонахождения:</w:t>
      </w:r>
      <w:r>
        <w:rPr>
          <w:rFonts w:cs="Times New Roman" w:ascii="Times New Roman" w:hAnsi="Times New Roman"/>
          <w:sz w:val="24"/>
          <w:szCs w:val="24"/>
        </w:rPr>
        <w:t xml:space="preserve"> 652270 Кемеровская область-Кузбасс, пгт Верх-Чебула, ул. Мира, д. 4 тел.: 8 (38444) 6-12-01, электронный адрес: </w:t>
      </w:r>
      <w:r>
        <w:rPr>
          <w:rFonts w:cs="Times New Roman" w:ascii="Times New Roman" w:hAnsi="Times New Roman"/>
          <w:sz w:val="24"/>
          <w:szCs w:val="24"/>
          <w:lang w:val="en-US"/>
        </w:rPr>
        <w:t>cheb</w:t>
      </w:r>
      <w:r>
        <w:rPr>
          <w:rFonts w:cs="Times New Roman" w:ascii="Times New Roman" w:hAnsi="Times New Roman"/>
          <w:sz w:val="24"/>
          <w:szCs w:val="24"/>
        </w:rPr>
        <w:t>-</w:t>
      </w:r>
      <w:r>
        <w:rPr>
          <w:rFonts w:cs="Times New Roman" w:ascii="Times New Roman" w:hAnsi="Times New Roman"/>
          <w:sz w:val="24"/>
          <w:szCs w:val="24"/>
          <w:lang w:val="en-US"/>
        </w:rPr>
        <w:t>kumi</w:t>
      </w:r>
      <w:r>
        <w:rPr>
          <w:rFonts w:cs="Times New Roman" w:ascii="Times New Roman" w:hAnsi="Times New Roman"/>
          <w:sz w:val="24"/>
          <w:szCs w:val="24"/>
        </w:rPr>
        <w:t>@</w:t>
      </w:r>
      <w:r>
        <w:rPr>
          <w:rFonts w:cs="Times New Roman" w:ascii="Times New Roman" w:hAnsi="Times New Roman"/>
          <w:sz w:val="24"/>
          <w:szCs w:val="24"/>
          <w:lang w:val="en-US"/>
        </w:rPr>
        <w:t>mail</w:t>
      </w:r>
      <w:r>
        <w:rPr>
          <w:rFonts w:cs="Times New Roman" w:ascii="Times New Roman" w:hAnsi="Times New Roman"/>
          <w:sz w:val="24"/>
          <w:szCs w:val="24"/>
        </w:rPr>
        <w:t>.</w:t>
      </w:r>
      <w:r>
        <w:rPr>
          <w:rFonts w:cs="Times New Roman" w:ascii="Times New Roman" w:hAnsi="Times New Roman"/>
          <w:sz w:val="24"/>
          <w:szCs w:val="24"/>
          <w:lang w:val="en-US"/>
        </w:rPr>
        <w:t>ru</w:t>
      </w:r>
    </w:p>
    <w:p>
      <w:pPr>
        <w:pStyle w:val="NormalWeb"/>
        <w:spacing w:lineRule="auto" w:line="240" w:beforeAutospacing="0" w:before="0" w:afterAutospacing="0" w:after="0"/>
        <w:ind w:firstLine="567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 xml:space="preserve">Контактные лица: </w:t>
      </w:r>
      <w:r>
        <w:rPr>
          <w:rFonts w:ascii="Times New Roman" w:hAnsi="Times New Roman"/>
          <w:color w:val="auto"/>
          <w:sz w:val="24"/>
          <w:szCs w:val="24"/>
        </w:rPr>
        <w:t xml:space="preserve">Логачев Анатолий Юрьевич, тел.: 6-12-04. </w:t>
      </w:r>
    </w:p>
    <w:p>
      <w:pPr>
        <w:pStyle w:val="NormalWeb"/>
        <w:spacing w:lineRule="auto" w:line="240" w:beforeAutospacing="0" w:before="0" w:afterAutospacing="0" w:after="0"/>
        <w:ind w:firstLine="567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>Место приема заявок</w:t>
      </w:r>
      <w:r>
        <w:rPr>
          <w:rFonts w:ascii="Times New Roman" w:hAnsi="Times New Roman"/>
          <w:color w:val="auto"/>
          <w:sz w:val="24"/>
          <w:szCs w:val="24"/>
        </w:rPr>
        <w:t xml:space="preserve">: </w:t>
      </w:r>
      <w:hyperlink r:id="rId2">
        <w:r>
          <w:rPr>
            <w:rStyle w:val="Hyperlink"/>
            <w:rFonts w:ascii="Times New Roman" w:hAnsi="Times New Roman"/>
            <w:color w:val="auto"/>
            <w:sz w:val="24"/>
            <w:szCs w:val="24"/>
            <w:lang w:val="en-US"/>
          </w:rPr>
          <w:t>www</w:t>
        </w:r>
        <w:r>
          <w:rPr>
            <w:rStyle w:val="Hyperlink"/>
            <w:rFonts w:ascii="Times New Roman" w:hAnsi="Times New Roman"/>
            <w:color w:val="auto"/>
            <w:sz w:val="24"/>
            <w:szCs w:val="24"/>
          </w:rPr>
          <w:t xml:space="preserve">. </w:t>
        </w:r>
        <w:r>
          <w:rPr>
            <w:rStyle w:val="Hyperlink"/>
            <w:rFonts w:ascii="Times New Roman" w:hAnsi="Times New Roman"/>
            <w:color w:val="auto"/>
            <w:sz w:val="24"/>
            <w:szCs w:val="24"/>
            <w:lang w:val="en-US"/>
          </w:rPr>
          <w:t>i</w:t>
        </w:r>
        <w:r>
          <w:rPr>
            <w:rStyle w:val="Hyperlink"/>
            <w:rFonts w:ascii="Times New Roman" w:hAnsi="Times New Roman"/>
            <w:color w:val="auto"/>
            <w:sz w:val="24"/>
            <w:szCs w:val="24"/>
          </w:rPr>
          <w:t>.</w:t>
        </w:r>
        <w:r>
          <w:rPr>
            <w:rStyle w:val="Hyperlink"/>
            <w:rFonts w:ascii="Times New Roman" w:hAnsi="Times New Roman"/>
            <w:color w:val="auto"/>
            <w:sz w:val="24"/>
            <w:szCs w:val="24"/>
            <w:lang w:val="en-US"/>
          </w:rPr>
          <w:t>rts</w:t>
        </w:r>
        <w:r>
          <w:rPr>
            <w:rStyle w:val="Hyperlink"/>
            <w:rFonts w:ascii="Times New Roman" w:hAnsi="Times New Roman"/>
            <w:color w:val="auto"/>
            <w:sz w:val="24"/>
            <w:szCs w:val="24"/>
          </w:rPr>
          <w:t>-</w:t>
        </w:r>
        <w:r>
          <w:rPr>
            <w:rStyle w:val="Hyperlink"/>
            <w:rFonts w:ascii="Times New Roman" w:hAnsi="Times New Roman"/>
            <w:color w:val="auto"/>
            <w:sz w:val="24"/>
            <w:szCs w:val="24"/>
            <w:lang w:val="en-US"/>
          </w:rPr>
          <w:t>tender</w:t>
        </w:r>
        <w:r>
          <w:rPr>
            <w:rStyle w:val="Hyperlink"/>
            <w:rFonts w:ascii="Times New Roman" w:hAnsi="Times New Roman"/>
            <w:color w:val="auto"/>
            <w:sz w:val="24"/>
            <w:szCs w:val="24"/>
          </w:rPr>
          <w:t>.</w:t>
        </w:r>
        <w:r>
          <w:rPr>
            <w:rStyle w:val="Hyperlink"/>
            <w:rFonts w:ascii="Times New Roman" w:hAnsi="Times New Roman"/>
            <w:color w:val="auto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/>
          <w:color w:val="auto"/>
          <w:sz w:val="24"/>
          <w:szCs w:val="24"/>
        </w:rPr>
        <w:t xml:space="preserve">  (ООО «РТС-тендер»)</w:t>
      </w:r>
    </w:p>
    <w:p>
      <w:pPr>
        <w:pStyle w:val="BodyTextIndent"/>
        <w:tabs>
          <w:tab w:val="clear" w:pos="708"/>
          <w:tab w:val="left" w:pos="687" w:leader="none"/>
        </w:tabs>
        <w:suppressAutoHyphens w:val="true"/>
        <w:snapToGrid w:val="false"/>
        <w:spacing w:before="0" w:after="0"/>
        <w:ind w:firstLine="567" w:left="0"/>
        <w:rPr>
          <w:highlight w:val="none"/>
          <w:shd w:fill="auto" w:val="clear"/>
        </w:rPr>
      </w:pPr>
      <w:r>
        <w:rPr>
          <w:b/>
          <w:shd w:fill="auto" w:val="clear"/>
        </w:rPr>
        <w:t>Срок подачи заявок: 27.</w:t>
      </w:r>
      <w:r>
        <w:rPr>
          <w:b/>
          <w:shd w:fill="auto" w:val="clear"/>
        </w:rPr>
        <w:t>10</w:t>
      </w:r>
      <w:r>
        <w:rPr>
          <w:b/>
          <w:shd w:fill="auto" w:val="clear"/>
        </w:rPr>
        <w:t>.2026 г. - 24.11.2026 г. до 10:00 по местному времени</w:t>
      </w:r>
    </w:p>
    <w:p>
      <w:pPr>
        <w:pStyle w:val="BodyTextIndent"/>
        <w:tabs>
          <w:tab w:val="clear" w:pos="708"/>
          <w:tab w:val="left" w:pos="687" w:leader="none"/>
        </w:tabs>
        <w:suppressAutoHyphens w:val="true"/>
        <w:snapToGrid w:val="false"/>
        <w:spacing w:before="0" w:after="0"/>
        <w:ind w:firstLine="567" w:left="0"/>
        <w:rPr/>
      </w:pPr>
      <w:r>
        <w:rPr>
          <w:b/>
          <w:shd w:fill="auto" w:val="clear"/>
        </w:rPr>
        <w:t>Дата определения участников</w:t>
      </w:r>
      <w:r>
        <w:rPr>
          <w:shd w:fill="auto" w:val="clear"/>
        </w:rPr>
        <w:t>:</w:t>
      </w:r>
      <w:r>
        <w:rPr>
          <w:b/>
          <w:shd w:fill="auto" w:val="clear"/>
        </w:rPr>
        <w:t xml:space="preserve"> 25.11.2026 г.</w:t>
      </w:r>
      <w:r>
        <w:rPr>
          <w:rStyle w:val="Strong"/>
          <w:rFonts w:cs="Arial" w:ascii="Arial" w:hAnsi="Arial"/>
          <w:b w:val="false"/>
          <w:sz w:val="20"/>
          <w:szCs w:val="20"/>
          <w:shd w:fill="auto" w:val="clear"/>
        </w:rPr>
        <w:t xml:space="preserve">  </w:t>
      </w:r>
    </w:p>
    <w:p>
      <w:pPr>
        <w:pStyle w:val="BodyTextIndent"/>
        <w:tabs>
          <w:tab w:val="clear" w:pos="708"/>
          <w:tab w:val="left" w:pos="687" w:leader="none"/>
        </w:tabs>
        <w:suppressAutoHyphens w:val="true"/>
        <w:snapToGrid w:val="false"/>
        <w:spacing w:before="0" w:after="0"/>
        <w:ind w:firstLine="567" w:left="0"/>
        <w:rPr>
          <w:highlight w:val="none"/>
          <w:shd w:fill="auto" w:val="clear"/>
        </w:rPr>
      </w:pPr>
      <w:r>
        <w:rPr>
          <w:b/>
          <w:shd w:fill="auto" w:val="clear"/>
        </w:rPr>
        <w:t>Дата и время проведения аукциона: 26.11.2026 г. в 10:00 по местному времени</w:t>
      </w:r>
    </w:p>
    <w:p>
      <w:pPr>
        <w:pStyle w:val="NormalWeb"/>
        <w:spacing w:lineRule="auto" w:line="240" w:beforeAutospacing="0" w:before="0" w:afterAutospacing="0" w:after="0"/>
        <w:ind w:firstLine="567"/>
        <w:jc w:val="left"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>2.2. Сведения об имуществе</w:t>
      </w:r>
    </w:p>
    <w:p>
      <w:pPr>
        <w:pStyle w:val="NormalWeb"/>
        <w:spacing w:lineRule="auto" w:line="240" w:beforeAutospacing="0" w:before="0" w:afterAutospacing="0" w:after="0"/>
        <w:ind w:firstLine="567"/>
        <w:rPr>
          <w:highlight w:val="none"/>
          <w:shd w:fill="auto" w:val="clear"/>
        </w:rPr>
      </w:pPr>
      <w:r>
        <w:rPr>
          <w:rFonts w:ascii="Times New Roman" w:hAnsi="Times New Roman"/>
          <w:b/>
          <w:color w:val="000000"/>
          <w:sz w:val="24"/>
          <w:szCs w:val="24"/>
          <w:u w:val="single"/>
          <w:shd w:fill="auto" w:val="clear"/>
        </w:rPr>
        <w:t>Характеристики:</w:t>
      </w:r>
    </w:p>
    <w:p>
      <w:pPr>
        <w:pStyle w:val="NormalWeb"/>
        <w:spacing w:lineRule="auto" w:line="240" w:beforeAutospacing="0" w:before="0" w:afterAutospacing="0" w:after="0"/>
        <w:rPr>
          <w:highlight w:val="none"/>
          <w:shd w:fill="auto" w:val="clear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shd w:fill="auto" w:val="clear"/>
        </w:rPr>
        <w:t xml:space="preserve">ЛОТ №1 - </w:t>
      </w: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  <w:shd w:fill="auto" w:val="clear"/>
        </w:rPr>
        <w:t xml:space="preserve">Автобус для перевозки детей ПАЗ - 32053-70, категория D, год изготовления 2017, </w:t>
      </w: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  <w:shd w:fill="auto" w:val="clear"/>
          <w:lang w:val="en-US"/>
        </w:rPr>
        <w:t xml:space="preserve">VIN </w:t>
      </w: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  <w:shd w:fill="auto" w:val="clear"/>
        </w:rPr>
        <w:t>- X1M3205BXH0002894, шасси (рама) № отсутствует, кузов № X1M3205BXH0002894, цвет желтый, ПТС № 52 ОТ 061204, выдан ООО ПАВЛОВСКИЙ АВТОБУСНЫЙ ЗАВОД 07.09.2017 г., гос. номер H240KA142.</w:t>
      </w:r>
    </w:p>
    <w:p>
      <w:pPr>
        <w:pStyle w:val="NormalWeb"/>
        <w:spacing w:lineRule="auto" w:line="240" w:beforeAutospacing="0" w:before="0" w:afterAutospacing="0" w:after="0"/>
        <w:ind w:firstLine="567"/>
        <w:rPr>
          <w:highlight w:val="none"/>
          <w:shd w:fill="auto" w:val="clear"/>
        </w:rPr>
      </w:pPr>
      <w:r>
        <w:rPr>
          <w:rFonts w:ascii="Times New Roman" w:hAnsi="Times New Roman"/>
          <w:b/>
          <w:color w:val="000000"/>
          <w:sz w:val="24"/>
          <w:szCs w:val="24"/>
          <w:shd w:fill="auto" w:val="clear"/>
        </w:rPr>
        <w:t xml:space="preserve">Рыночная стоимость Объекта (начальная цена продажи): 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  <w:shd w:fill="auto" w:val="clear"/>
        </w:rPr>
        <w:t>215 000,</w:t>
      </w:r>
      <w:r>
        <w:rPr>
          <w:rFonts w:ascii="Times New Roman" w:hAnsi="Times New Roman"/>
          <w:bCs/>
          <w:color w:val="000000"/>
          <w:sz w:val="24"/>
          <w:szCs w:val="24"/>
          <w:shd w:fill="auto" w:val="clear"/>
        </w:rPr>
        <w:t>00 руб.         (двести пятнадцать тысяч)</w:t>
      </w:r>
      <w:r>
        <w:rPr>
          <w:rFonts w:ascii="Times New Roman" w:hAnsi="Times New Roman"/>
          <w:b/>
          <w:color w:val="000000"/>
          <w:sz w:val="24"/>
          <w:szCs w:val="24"/>
          <w:shd w:fill="auto" w:val="clea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>рублей 00 коп. с учетом НДС.</w:t>
      </w:r>
    </w:p>
    <w:p>
      <w:pPr>
        <w:pStyle w:val="NormalWeb"/>
        <w:spacing w:lineRule="auto" w:line="240" w:beforeAutospacing="0" w:before="0" w:afterAutospacing="0" w:after="0"/>
        <w:ind w:firstLine="567"/>
        <w:rPr>
          <w:highlight w:val="none"/>
          <w:shd w:fill="auto" w:val="clear"/>
        </w:rPr>
      </w:pPr>
      <w:r>
        <w:rPr>
          <w:rFonts w:ascii="Times New Roman" w:hAnsi="Times New Roman"/>
          <w:b/>
          <w:color w:val="000000"/>
          <w:sz w:val="24"/>
          <w:szCs w:val="24"/>
          <w:shd w:fill="auto" w:val="clear"/>
        </w:rPr>
        <w:t>Шаг аукциона: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 xml:space="preserve"> 5% начальной цены продажи</w:t>
      </w:r>
      <w:r>
        <w:rPr>
          <w:rFonts w:ascii="Times New Roman" w:hAnsi="Times New Roman"/>
          <w:b/>
          <w:color w:val="000000"/>
          <w:sz w:val="24"/>
          <w:szCs w:val="24"/>
          <w:shd w:fill="auto" w:val="clear"/>
        </w:rPr>
        <w:t xml:space="preserve">: 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  <w:shd w:fill="auto" w:val="clear"/>
        </w:rPr>
        <w:t>10 750</w:t>
      </w:r>
      <w:r>
        <w:rPr>
          <w:rFonts w:ascii="Times New Roman" w:hAnsi="Times New Roman"/>
          <w:bCs/>
          <w:color w:val="000000"/>
          <w:sz w:val="24"/>
          <w:szCs w:val="24"/>
          <w:shd w:fill="auto" w:val="clear"/>
        </w:rPr>
        <w:t>,00 руб.</w:t>
      </w:r>
      <w:r>
        <w:rPr>
          <w:rFonts w:ascii="Times New Roman" w:hAnsi="Times New Roman"/>
          <w:b/>
          <w:color w:val="000000"/>
          <w:sz w:val="24"/>
          <w:szCs w:val="24"/>
          <w:shd w:fill="auto" w:val="clea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 xml:space="preserve">(десять тысяч семьсот пятьдесят) рублей 00 коп. </w:t>
      </w:r>
    </w:p>
    <w:p>
      <w:pPr>
        <w:pStyle w:val="NormalWeb"/>
        <w:spacing w:lineRule="auto" w:line="240" w:beforeAutospacing="0" w:before="0" w:afterAutospacing="0" w:after="0"/>
        <w:ind w:firstLine="567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4"/>
          <w:szCs w:val="24"/>
          <w:shd w:fill="auto" w:val="clear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  <w:shd w:fill="auto" w:val="clear"/>
        </w:rPr>
        <w:t xml:space="preserve">Размер </w:t>
      </w:r>
      <w:bookmarkStart w:id="0" w:name="_GoBack"/>
      <w:r>
        <w:rPr>
          <w:rFonts w:ascii="Times New Roman" w:hAnsi="Times New Roman"/>
          <w:b/>
          <w:color w:val="000000"/>
          <w:sz w:val="24"/>
          <w:szCs w:val="24"/>
          <w:shd w:fill="auto" w:val="clear"/>
        </w:rPr>
        <w:t>задатка</w:t>
      </w:r>
      <w:bookmarkEnd w:id="0"/>
      <w:r>
        <w:rPr>
          <w:rFonts w:ascii="Times New Roman" w:hAnsi="Times New Roman"/>
          <w:color w:val="000000"/>
          <w:sz w:val="24"/>
          <w:szCs w:val="24"/>
          <w:shd w:fill="auto" w:val="clear"/>
        </w:rPr>
        <w:t>: (10% начальной цены продажи) 21 500</w:t>
      </w:r>
      <w:r>
        <w:rPr>
          <w:rFonts w:ascii="Times New Roman" w:hAnsi="Times New Roman"/>
          <w:bCs/>
          <w:color w:val="000000"/>
          <w:sz w:val="24"/>
          <w:szCs w:val="24"/>
          <w:shd w:fill="auto" w:val="clear"/>
        </w:rPr>
        <w:t>,00 руб.</w:t>
      </w:r>
      <w:r>
        <w:rPr>
          <w:rFonts w:ascii="Times New Roman" w:hAnsi="Times New Roman"/>
          <w:b/>
          <w:color w:val="000000"/>
          <w:sz w:val="24"/>
          <w:szCs w:val="24"/>
          <w:shd w:fill="auto" w:val="clear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>(двадцать одна тысяча пятьсот) рублей 00 коп., НДС не облагается.</w:t>
      </w:r>
    </w:p>
    <w:p>
      <w:pPr>
        <w:pStyle w:val="NormalWeb"/>
        <w:spacing w:lineRule="auto" w:line="240" w:beforeAutospacing="0" w:before="0" w:afterAutospacing="0" w:after="0"/>
        <w:ind w:firstLine="567"/>
        <w:rPr>
          <w:highlight w:val="none"/>
          <w:shd w:fill="auto" w:val="clear"/>
        </w:rPr>
      </w:pPr>
      <w:r>
        <w:rPr>
          <w:rFonts w:ascii="Times New Roman" w:hAnsi="Times New Roman"/>
          <w:b/>
          <w:color w:val="000000"/>
          <w:sz w:val="24"/>
          <w:szCs w:val="24"/>
          <w:shd w:fill="auto" w:val="clear"/>
        </w:rPr>
        <w:t>Месторасположение (адрес) имущества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>: Кемеровская область-Кузбасс, Чебулинский муниципальный округ, пгт. Верх-Чебула.</w:t>
      </w:r>
    </w:p>
    <w:p>
      <w:pPr>
        <w:pStyle w:val="NormalWeb"/>
        <w:spacing w:lineRule="auto" w:line="240" w:beforeAutospacing="0" w:before="0" w:afterAutospacing="0" w:after="0"/>
        <w:rPr>
          <w:highlight w:val="none"/>
          <w:shd w:fill="FFFF00" w:val="clear"/>
        </w:rPr>
      </w:pPr>
      <w:r>
        <w:rPr>
          <w:rFonts w:ascii="Times New Roman" w:hAnsi="Times New Roman"/>
          <w:b/>
          <w:color w:val="000000"/>
          <w:sz w:val="24"/>
          <w:szCs w:val="24"/>
          <w:shd w:fill="auto" w:val="clear"/>
        </w:rPr>
        <w:t xml:space="preserve">        </w:t>
      </w:r>
      <w:r>
        <w:rPr>
          <w:rFonts w:ascii="Times New Roman" w:hAnsi="Times New Roman"/>
          <w:b/>
          <w:bCs/>
          <w:color w:val="000000"/>
          <w:sz w:val="24"/>
          <w:szCs w:val="24"/>
          <w:shd w:fill="auto" w:val="clear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  <w:shd w:fill="auto" w:val="clear"/>
        </w:rPr>
        <w:t xml:space="preserve">Срок внесения задатка: 25.11.2026 г. </w:t>
      </w:r>
      <w:r>
        <w:rPr>
          <w:rFonts w:ascii="Times New Roman" w:hAnsi="Times New Roman"/>
          <w:b/>
          <w:color w:val="000000"/>
          <w:sz w:val="24"/>
          <w:szCs w:val="24"/>
          <w:shd w:fill="auto" w:val="clear"/>
        </w:rPr>
        <w:t xml:space="preserve"> </w:t>
      </w:r>
    </w:p>
    <w:p>
      <w:pPr>
        <w:pStyle w:val="NormalWeb"/>
        <w:spacing w:lineRule="auto" w:line="240" w:beforeAutospacing="0" w:before="0" w:afterAutospacing="0" w:after="0"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 xml:space="preserve">         </w:t>
      </w:r>
      <w:r>
        <w:rPr>
          <w:rFonts w:ascii="Times New Roman" w:hAnsi="Times New Roman"/>
          <w:b/>
          <w:color w:val="auto"/>
          <w:sz w:val="24"/>
          <w:szCs w:val="24"/>
        </w:rPr>
        <w:t>Реквизиты для перечисления задатка:</w:t>
      </w:r>
    </w:p>
    <w:p>
      <w:pPr>
        <w:pStyle w:val="NormalWeb"/>
        <w:spacing w:lineRule="auto" w:line="240" w:beforeAutospacing="0" w:before="0" w:afterAutospacing="0" w:after="0"/>
        <w:rPr>
          <w:rFonts w:ascii="Times New Roman" w:hAnsi="Times New Roman"/>
          <w:bCs/>
          <w:color w:val="auto"/>
          <w:sz w:val="24"/>
          <w:szCs w:val="24"/>
        </w:rPr>
      </w:pPr>
      <w:r>
        <w:rPr>
          <w:rFonts w:ascii="Times New Roman" w:hAnsi="Times New Roman"/>
          <w:bCs/>
          <w:color w:val="auto"/>
          <w:sz w:val="24"/>
          <w:szCs w:val="24"/>
        </w:rPr>
        <w:t>Получатель: ООО «РТС-Тендер»</w:t>
      </w:r>
    </w:p>
    <w:p>
      <w:pPr>
        <w:pStyle w:val="NormalWeb"/>
        <w:spacing w:lineRule="auto" w:line="240" w:beforeAutospacing="0" w:before="0" w:afterAutospacing="0" w:after="0"/>
        <w:rPr>
          <w:rFonts w:ascii="Times New Roman" w:hAnsi="Times New Roman"/>
          <w:bCs/>
          <w:color w:val="auto"/>
          <w:sz w:val="24"/>
          <w:szCs w:val="24"/>
        </w:rPr>
      </w:pPr>
      <w:r>
        <w:rPr>
          <w:rFonts w:ascii="Times New Roman" w:hAnsi="Times New Roman"/>
          <w:bCs/>
          <w:color w:val="auto"/>
          <w:sz w:val="24"/>
          <w:szCs w:val="24"/>
        </w:rPr>
        <w:t>Наименование банка: филиал «Корпоративный» ПАО «Совкомбанк»</w:t>
      </w:r>
    </w:p>
    <w:p>
      <w:pPr>
        <w:pStyle w:val="NormalWeb"/>
        <w:spacing w:lineRule="auto" w:line="240" w:beforeAutospacing="0" w:before="0" w:afterAutospacing="0" w:after="0"/>
        <w:rPr>
          <w:rFonts w:ascii="Times New Roman" w:hAnsi="Times New Roman" w:eastAsia="sans-serif"/>
          <w:color w:val="auto"/>
          <w:sz w:val="24"/>
          <w:szCs w:val="24"/>
          <w:shd w:fill="FBFBFB" w:val="clear"/>
        </w:rPr>
      </w:pPr>
      <w:r>
        <w:rPr>
          <w:rFonts w:ascii="Times New Roman" w:hAnsi="Times New Roman"/>
          <w:bCs/>
          <w:color w:val="auto"/>
          <w:sz w:val="24"/>
          <w:szCs w:val="24"/>
        </w:rPr>
        <w:t xml:space="preserve">Расчетный счет: </w:t>
      </w:r>
      <w:r>
        <w:rPr>
          <w:rFonts w:eastAsia="sans-serif" w:ascii="Times New Roman" w:hAnsi="Times New Roman"/>
          <w:bCs/>
          <w:color w:val="000000"/>
          <w:sz w:val="24"/>
          <w:szCs w:val="24"/>
          <w:shd w:fill="FBFBFB" w:val="clear"/>
        </w:rPr>
        <w:t>4070</w:t>
      </w:r>
      <w:r>
        <w:rPr>
          <w:rFonts w:eastAsia="sans-serif" w:ascii="Times New Roman" w:hAnsi="Times New Roman"/>
          <w:color w:val="000000"/>
          <w:sz w:val="24"/>
          <w:szCs w:val="24"/>
          <w:shd w:fill="FBFBFB" w:val="clear"/>
        </w:rPr>
        <w:t>2810512030016362</w:t>
      </w:r>
    </w:p>
    <w:p>
      <w:pPr>
        <w:pStyle w:val="NormalWeb"/>
        <w:spacing w:lineRule="auto" w:line="240" w:beforeAutospacing="0" w:before="0" w:afterAutospacing="0" w:after="0"/>
        <w:rPr>
          <w:rFonts w:ascii="Times New Roman" w:hAnsi="Times New Roman" w:eastAsia="sans-serif"/>
          <w:color w:val="auto"/>
          <w:sz w:val="24"/>
          <w:szCs w:val="24"/>
          <w:shd w:fill="FBFBFB" w:val="clear"/>
        </w:rPr>
      </w:pPr>
      <w:r>
        <w:rPr>
          <w:rFonts w:eastAsia="sans-serif" w:ascii="Times New Roman" w:hAnsi="Times New Roman"/>
          <w:color w:val="000000"/>
          <w:sz w:val="24"/>
          <w:szCs w:val="24"/>
          <w:shd w:fill="FBFBFB" w:val="clear"/>
        </w:rPr>
        <w:t>Корр.счет: 30101810445250000360</w:t>
      </w:r>
    </w:p>
    <w:p>
      <w:pPr>
        <w:pStyle w:val="NormalWeb"/>
        <w:spacing w:lineRule="auto" w:line="240" w:beforeAutospacing="0" w:before="0" w:afterAutospacing="0" w:after="0"/>
        <w:rPr>
          <w:rFonts w:ascii="Times New Roman" w:hAnsi="Times New Roman" w:eastAsia="sans-serif"/>
          <w:color w:val="auto"/>
          <w:sz w:val="24"/>
          <w:szCs w:val="24"/>
          <w:shd w:fill="FBFBFB" w:val="clear"/>
        </w:rPr>
      </w:pPr>
      <w:r>
        <w:rPr>
          <w:rFonts w:eastAsia="sans-serif" w:ascii="Times New Roman" w:hAnsi="Times New Roman"/>
          <w:color w:val="000000"/>
          <w:sz w:val="24"/>
          <w:szCs w:val="24"/>
          <w:shd w:fill="FBFBFB" w:val="clear"/>
        </w:rPr>
        <w:t>БИК: 044525360</w:t>
      </w:r>
    </w:p>
    <w:p>
      <w:pPr>
        <w:pStyle w:val="NormalWeb"/>
        <w:spacing w:lineRule="auto" w:line="240" w:beforeAutospacing="0" w:before="0" w:afterAutospacing="0" w:after="0"/>
        <w:rPr>
          <w:rFonts w:ascii="Times New Roman" w:hAnsi="Times New Roman" w:eastAsia="sans-serif"/>
          <w:color w:val="auto"/>
          <w:sz w:val="24"/>
          <w:szCs w:val="24"/>
          <w:shd w:fill="FBFBFB" w:val="clear"/>
        </w:rPr>
      </w:pPr>
      <w:r>
        <w:rPr>
          <w:rFonts w:eastAsia="sans-serif" w:ascii="Times New Roman" w:hAnsi="Times New Roman"/>
          <w:color w:val="000000"/>
          <w:sz w:val="24"/>
          <w:szCs w:val="24"/>
          <w:shd w:fill="FBFBFB" w:val="clear"/>
        </w:rPr>
        <w:t>ИНН: 7710357167</w:t>
      </w:r>
    </w:p>
    <w:p>
      <w:pPr>
        <w:pStyle w:val="NormalWeb"/>
        <w:spacing w:lineRule="auto" w:line="240" w:beforeAutospacing="0" w:before="0" w:afterAutospacing="0" w:after="0"/>
        <w:rPr>
          <w:rFonts w:ascii="Times New Roman" w:hAnsi="Times New Roman" w:eastAsia="sans-serif"/>
          <w:color w:val="auto"/>
          <w:sz w:val="24"/>
          <w:szCs w:val="24"/>
          <w:shd w:fill="FBFBFB" w:val="clear"/>
        </w:rPr>
      </w:pPr>
      <w:r>
        <w:rPr>
          <w:rFonts w:eastAsia="sans-serif" w:ascii="Times New Roman" w:hAnsi="Times New Roman"/>
          <w:color w:val="000000"/>
          <w:sz w:val="24"/>
          <w:szCs w:val="24"/>
          <w:shd w:fill="FBFBFB" w:val="clear"/>
        </w:rPr>
        <w:t>КПП: 773001001</w:t>
      </w:r>
    </w:p>
    <w:p>
      <w:pPr>
        <w:pStyle w:val="NormalWeb"/>
        <w:spacing w:lineRule="auto" w:line="240" w:beforeAutospacing="0" w:before="0" w:afterAutospacing="0" w:after="0"/>
        <w:rPr>
          <w:rFonts w:ascii="Times New Roman" w:hAnsi="Times New Roman" w:eastAsia="sans-serif"/>
          <w:color w:val="auto"/>
          <w:sz w:val="24"/>
          <w:szCs w:val="24"/>
          <w:shd w:fill="FBFBFB" w:val="clear"/>
        </w:rPr>
      </w:pPr>
      <w:r>
        <w:rPr>
          <w:rFonts w:eastAsia="sans-serif" w:ascii="Times New Roman" w:hAnsi="Times New Roman"/>
          <w:color w:val="000000"/>
          <w:sz w:val="24"/>
          <w:szCs w:val="24"/>
          <w:shd w:fill="FBFBFB" w:val="clear"/>
        </w:rPr>
        <w:t>Назначение платежа: Внесение гарантийного обеспечения по Соглашению о внесении гарантийного обеспечения, № аналитического счета _________, без НДС.</w:t>
      </w:r>
    </w:p>
    <w:p>
      <w:pPr>
        <w:pStyle w:val="NormalWeb"/>
        <w:spacing w:lineRule="auto" w:line="240" w:beforeAutospacing="0" w:before="0" w:afterAutospacing="0" w:after="0"/>
        <w:rPr>
          <w:rFonts w:ascii="Times New Roman" w:hAnsi="Times New Roman" w:eastAsia="sans-serif"/>
          <w:color w:val="auto"/>
          <w:sz w:val="24"/>
          <w:szCs w:val="24"/>
          <w:shd w:fill="FBFBFB" w:val="clear"/>
        </w:rPr>
      </w:pPr>
      <w:r>
        <w:rPr>
          <w:rFonts w:eastAsia="sans-serif" w:ascii="Times New Roman" w:hAnsi="Times New Roman"/>
          <w:color w:val="000000"/>
          <w:sz w:val="24"/>
          <w:szCs w:val="24"/>
          <w:shd w:fill="FBFBFB" w:val="clear"/>
        </w:rPr>
      </w:r>
    </w:p>
    <w:p>
      <w:pPr>
        <w:pStyle w:val="NormalWeb"/>
        <w:spacing w:lineRule="auto" w:line="240" w:beforeAutospacing="0" w:before="0" w:afterAutospacing="0" w:after="0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 xml:space="preserve">Информация о предыдущих торгах </w:t>
      </w:r>
      <w:r>
        <w:rPr>
          <w:rFonts w:ascii="Times New Roman" w:hAnsi="Times New Roman"/>
          <w:color w:val="auto"/>
          <w:sz w:val="24"/>
          <w:szCs w:val="24"/>
        </w:rPr>
        <w:t>ранее торги не проводились</w:t>
      </w:r>
    </w:p>
    <w:p>
      <w:pPr>
        <w:pStyle w:val="Normal"/>
        <w:jc w:val="both"/>
        <w:rPr/>
      </w:pPr>
      <w:r>
        <w:rPr>
          <w:b/>
        </w:rPr>
        <w:t xml:space="preserve">Способ приватизации: </w:t>
      </w:r>
      <w:r>
        <w:rPr/>
        <w:t>продажа на открытом аукционе</w:t>
      </w:r>
    </w:p>
    <w:p>
      <w:pPr>
        <w:pStyle w:val="Normal"/>
        <w:jc w:val="both"/>
        <w:rPr/>
      </w:pPr>
      <w:r>
        <w:rPr>
          <w:b/>
        </w:rPr>
        <w:t xml:space="preserve">Форма подачи предложений о цене: </w:t>
      </w:r>
      <w:r>
        <w:rPr/>
        <w:t>открытая</w:t>
      </w:r>
    </w:p>
    <w:p>
      <w:pPr>
        <w:pStyle w:val="BodyTextIndent"/>
        <w:tabs>
          <w:tab w:val="clear" w:pos="708"/>
          <w:tab w:val="left" w:pos="687" w:leader="none"/>
        </w:tabs>
        <w:suppressAutoHyphens w:val="true"/>
        <w:snapToGrid w:val="false"/>
        <w:spacing w:before="0" w:after="0"/>
        <w:ind w:firstLine="567" w:left="0"/>
        <w:rPr>
          <w:b/>
        </w:rPr>
      </w:pPr>
      <w:r>
        <w:rPr>
          <w:b/>
        </w:rPr>
      </w:r>
    </w:p>
    <w:p>
      <w:pPr>
        <w:pStyle w:val="BodyTextIndent"/>
        <w:tabs>
          <w:tab w:val="clear" w:pos="708"/>
          <w:tab w:val="left" w:pos="687" w:leader="none"/>
        </w:tabs>
        <w:suppressAutoHyphens w:val="true"/>
        <w:snapToGrid w:val="false"/>
        <w:spacing w:before="0" w:after="0"/>
        <w:ind w:left="1134"/>
        <w:jc w:val="center"/>
        <w:rPr>
          <w:b/>
        </w:rPr>
      </w:pPr>
      <w:r>
        <w:rPr>
          <w:b/>
        </w:rPr>
        <w:t>3.Порядок публикации Информационного сообщения и осмотра Объекта аукциона.</w:t>
      </w:r>
    </w:p>
    <w:p>
      <w:pPr>
        <w:pStyle w:val="BodyTextIndent"/>
        <w:tabs>
          <w:tab w:val="clear" w:pos="708"/>
          <w:tab w:val="left" w:pos="687" w:leader="none"/>
        </w:tabs>
        <w:suppressAutoHyphens w:val="true"/>
        <w:snapToGrid w:val="false"/>
        <w:spacing w:before="0" w:after="0"/>
        <w:ind w:left="0"/>
        <w:jc w:val="both"/>
        <w:rPr>
          <w:b/>
          <w:bCs/>
        </w:rPr>
      </w:pPr>
      <w:r>
        <w:rPr>
          <w:iCs/>
        </w:rPr>
        <w:tab/>
      </w:r>
      <w:r>
        <w:rPr>
          <w:iCs/>
          <w:shd w:fill="auto" w:val="clear"/>
        </w:rPr>
        <w:t xml:space="preserve">Информационное сообщение размещается на официальном сайте РФ в информационно-телекоммуникационной сети «Интернет» для размещения информации о проведении торгов - </w:t>
      </w:r>
      <w:hyperlink r:id="rId3">
        <w:r>
          <w:rPr>
            <w:rStyle w:val="Hyperlink"/>
            <w:b/>
            <w:color w:val="000000"/>
            <w:shd w:fill="auto" w:val="clear"/>
          </w:rPr>
          <w:t>http://www.torgi.gov.ru/</w:t>
        </w:r>
      </w:hyperlink>
      <w:r>
        <w:rPr>
          <w:shd w:fill="auto" w:val="clear"/>
        </w:rPr>
        <w:t xml:space="preserve">, а также на электронной площадке </w:t>
      </w:r>
      <w:hyperlink r:id="rId4">
        <w:r>
          <w:rPr>
            <w:rStyle w:val="Hyperlink"/>
            <w:b/>
            <w:color w:val="000000"/>
            <w:shd w:fill="auto" w:val="clear"/>
          </w:rPr>
          <w:t>http://www.rt</w:t>
        </w:r>
        <w:r>
          <w:rPr>
            <w:rStyle w:val="Hyperlink"/>
            <w:b/>
            <w:color w:val="000000"/>
            <w:shd w:fill="auto" w:val="clear"/>
            <w:lang w:val="en-US"/>
          </w:rPr>
          <w:t>s</w:t>
        </w:r>
        <w:r>
          <w:rPr>
            <w:rStyle w:val="Hyperlink"/>
            <w:b/>
            <w:color w:val="000000"/>
            <w:shd w:fill="auto" w:val="clear"/>
          </w:rPr>
          <w:t>-</w:t>
        </w:r>
        <w:r>
          <w:rPr>
            <w:rStyle w:val="Hyperlink"/>
            <w:b/>
            <w:color w:val="000000"/>
            <w:shd w:fill="auto" w:val="clear"/>
            <w:lang w:val="en-US"/>
          </w:rPr>
          <w:t>tender</w:t>
        </w:r>
        <w:r>
          <w:rPr>
            <w:rStyle w:val="Hyperlink"/>
            <w:b/>
            <w:color w:val="000000"/>
            <w:shd w:fill="auto" w:val="clear"/>
          </w:rPr>
          <w:t>.ru/</w:t>
        </w:r>
      </w:hyperlink>
      <w:r>
        <w:rPr>
          <w:shd w:fill="auto" w:val="clear"/>
        </w:rPr>
        <w:t>, на официальном сайте продавца.</w:t>
      </w:r>
    </w:p>
    <w:p>
      <w:pPr>
        <w:pStyle w:val="NormalWeb"/>
        <w:spacing w:lineRule="auto" w:line="240" w:beforeAutospacing="0" w:before="0" w:afterAutospacing="0" w:after="0"/>
        <w:ind w:firstLine="567"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Ознакомиться с условиями договора купли-продажи имущества, иной информацией можно по вышеуказанным местам во время приема заявок.</w:t>
      </w:r>
      <w:r>
        <w:rPr>
          <w:rFonts w:ascii="Times New Roman" w:hAnsi="Times New Roman"/>
          <w:b/>
          <w:color w:val="auto"/>
          <w:sz w:val="24"/>
          <w:szCs w:val="24"/>
        </w:rPr>
        <w:t xml:space="preserve"> </w:t>
      </w:r>
    </w:p>
    <w:p>
      <w:pPr>
        <w:pStyle w:val="NormalWeb"/>
        <w:spacing w:lineRule="auto" w:line="240" w:beforeAutospacing="0" w:before="0" w:afterAutospacing="0" w:after="0"/>
        <w:ind w:firstLine="567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Осмотр объекта аукциона проводится без взимания платы </w:t>
      </w:r>
      <w:r>
        <w:rPr>
          <w:rFonts w:ascii="Times New Roman" w:hAnsi="Times New Roman"/>
          <w:bCs/>
          <w:color w:val="auto"/>
          <w:sz w:val="24"/>
          <w:szCs w:val="24"/>
        </w:rPr>
        <w:t>в период заявочной кампании, но не позднее 2 рабочих дней до даты завершения приема заявок</w:t>
      </w:r>
      <w:r>
        <w:rPr>
          <w:rFonts w:ascii="Times New Roman" w:hAnsi="Times New Roman"/>
          <w:color w:val="auto"/>
          <w:sz w:val="24"/>
          <w:szCs w:val="24"/>
        </w:rPr>
        <w:t xml:space="preserve"> по предварительному согласованию времени проведения осмотра с организатором аукциона. Для осмотра Объекта аукциона, с учетом установленных сроков, лицо, желающее осмотреть Объект аукциона, направляет обращение в письменной форме на адрес электронной почты </w:t>
      </w:r>
      <w:hyperlink r:id="rId5">
        <w:r>
          <w:rPr>
            <w:rStyle w:val="Hyperlink"/>
            <w:rFonts w:ascii="Times New Roman" w:hAnsi="Times New Roman"/>
            <w:color w:val="auto"/>
            <w:sz w:val="24"/>
            <w:szCs w:val="24"/>
            <w:lang w:val="en-US"/>
          </w:rPr>
          <w:t>cheb</w:t>
        </w:r>
        <w:r>
          <w:rPr>
            <w:rStyle w:val="Hyperlink"/>
            <w:rFonts w:ascii="Times New Roman" w:hAnsi="Times New Roman"/>
            <w:color w:val="auto"/>
            <w:sz w:val="24"/>
            <w:szCs w:val="24"/>
          </w:rPr>
          <w:t>-</w:t>
        </w:r>
        <w:r>
          <w:rPr>
            <w:rStyle w:val="Hyperlink"/>
            <w:rFonts w:ascii="Times New Roman" w:hAnsi="Times New Roman"/>
            <w:color w:val="auto"/>
            <w:sz w:val="24"/>
            <w:szCs w:val="24"/>
            <w:lang w:val="en-US"/>
          </w:rPr>
          <w:t>kumi</w:t>
        </w:r>
        <w:r>
          <w:rPr>
            <w:rStyle w:val="Hyperlink"/>
            <w:rFonts w:ascii="Times New Roman" w:hAnsi="Times New Roman"/>
            <w:color w:val="auto"/>
            <w:sz w:val="24"/>
            <w:szCs w:val="24"/>
          </w:rPr>
          <w:t>@</w:t>
        </w:r>
        <w:r>
          <w:rPr>
            <w:rStyle w:val="Hyperlink"/>
            <w:rFonts w:ascii="Times New Roman" w:hAnsi="Times New Roman"/>
            <w:color w:val="auto"/>
            <w:sz w:val="24"/>
            <w:szCs w:val="24"/>
            <w:lang w:val="en-US"/>
          </w:rPr>
          <w:t>mail</w:t>
        </w:r>
        <w:r>
          <w:rPr>
            <w:rStyle w:val="Hyperlink"/>
            <w:rFonts w:ascii="Times New Roman" w:hAnsi="Times New Roman"/>
            <w:color w:val="auto"/>
            <w:sz w:val="24"/>
            <w:szCs w:val="24"/>
          </w:rPr>
          <w:t>.</w:t>
        </w:r>
        <w:r>
          <w:rPr>
            <w:rStyle w:val="Hyperlink"/>
            <w:rFonts w:ascii="Times New Roman" w:hAnsi="Times New Roman"/>
            <w:color w:val="auto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/>
          <w:color w:val="auto"/>
          <w:sz w:val="24"/>
          <w:szCs w:val="24"/>
        </w:rPr>
        <w:t xml:space="preserve"> с указанием следующих данных:</w:t>
      </w:r>
    </w:p>
    <w:p>
      <w:pPr>
        <w:pStyle w:val="NormalWeb"/>
        <w:spacing w:lineRule="auto" w:line="240" w:beforeAutospacing="0" w:before="0" w:afterAutospacing="0" w:after="0"/>
        <w:ind w:firstLine="567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- тема письма: Запрос на осмотр Объекта аукциона;</w:t>
      </w:r>
    </w:p>
    <w:p>
      <w:pPr>
        <w:pStyle w:val="NormalWeb"/>
        <w:spacing w:lineRule="auto" w:line="240" w:beforeAutospacing="0" w:before="0" w:afterAutospacing="0" w:after="0"/>
        <w:ind w:firstLine="567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- Ф.И.О. лица, уполномоченного на осмотр Объекта аукциона;</w:t>
      </w:r>
    </w:p>
    <w:p>
      <w:pPr>
        <w:pStyle w:val="NormalWeb"/>
        <w:spacing w:lineRule="auto" w:line="240" w:beforeAutospacing="0" w:before="0" w:afterAutospacing="0" w:after="0"/>
        <w:ind w:firstLine="567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- наименование юридического лица (для юридического лица);</w:t>
      </w:r>
    </w:p>
    <w:p>
      <w:pPr>
        <w:pStyle w:val="NormalWeb"/>
        <w:spacing w:lineRule="auto" w:line="240" w:beforeAutospacing="0" w:before="0" w:afterAutospacing="0" w:after="0"/>
        <w:ind w:firstLine="567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- почтовый адрес или адрес электронной почты, контактный телефон;</w:t>
      </w:r>
    </w:p>
    <w:p>
      <w:pPr>
        <w:pStyle w:val="NormalWeb"/>
        <w:spacing w:lineRule="auto" w:line="240" w:beforeAutospacing="0" w:before="0" w:afterAutospacing="0" w:after="0"/>
        <w:ind w:firstLine="567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- дата аукциона;</w:t>
      </w:r>
    </w:p>
    <w:p>
      <w:pPr>
        <w:pStyle w:val="NormalWeb"/>
        <w:spacing w:lineRule="auto" w:line="240" w:beforeAutospacing="0" w:before="0" w:afterAutospacing="0" w:after="0"/>
        <w:ind w:firstLine="567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- № лота;</w:t>
      </w:r>
    </w:p>
    <w:p>
      <w:pPr>
        <w:pStyle w:val="NormalWeb"/>
        <w:spacing w:lineRule="auto" w:line="240" w:beforeAutospacing="0" w:before="0" w:afterAutospacing="0" w:after="0"/>
        <w:ind w:firstLine="567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- местоположение (адрес) Объекта аукциона.</w:t>
      </w:r>
    </w:p>
    <w:p>
      <w:pPr>
        <w:pStyle w:val="NormalWeb"/>
        <w:spacing w:lineRule="auto" w:line="240" w:beforeAutospacing="0" w:before="0" w:afterAutospacing="0" w:after="0"/>
        <w:ind w:firstLine="567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В течение 2 (двух) рабочих дней со дня поступления обращения лицо, осуществляющее организационно-технические функции по организации и проведению аукциона направляет Заявителю ответное письмо на указанный заявителем эл. адрес, в котором указывается дата осмотра и контактные сведения лица (Представителя Продавца), уполномоченного на проведение осмотра. </w:t>
      </w:r>
    </w:p>
    <w:p>
      <w:pPr>
        <w:pStyle w:val="NormalWeb"/>
        <w:spacing w:lineRule="auto" w:line="240" w:beforeAutospacing="0" w:before="0" w:afterAutospacing="0" w:after="0"/>
        <w:ind w:firstLine="567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</w:r>
    </w:p>
    <w:p>
      <w:pPr>
        <w:pStyle w:val="ConsPlusNormal"/>
        <w:ind w:hanging="357" w:left="126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4. Порядок регистрации на электронной площадке</w:t>
      </w:r>
    </w:p>
    <w:p>
      <w:pPr>
        <w:pStyle w:val="ConsPlusNormal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Для обеспечения доступа к участию в электронном аукционе Претендентам необходимо пройти процедуру регистрации в соответствии с Регламентом электронной площадки Организатора </w:t>
      </w:r>
      <w:hyperlink r:id="rId6">
        <w:r>
          <w:rPr>
            <w:rStyle w:val="Hyperlink"/>
            <w:rFonts w:cs="Times New Roman" w:ascii="Times New Roman" w:hAnsi="Times New Roman"/>
            <w:color w:val="auto"/>
            <w:sz w:val="24"/>
            <w:szCs w:val="24"/>
          </w:rPr>
          <w:t>http://www.rt</w:t>
        </w:r>
        <w:r>
          <w:rPr>
            <w:rStyle w:val="Hyperlink"/>
            <w:rFonts w:cs="Times New Roman" w:ascii="Times New Roman" w:hAnsi="Times New Roman"/>
            <w:color w:val="auto"/>
            <w:sz w:val="24"/>
            <w:szCs w:val="24"/>
            <w:lang w:val="en-US"/>
          </w:rPr>
          <w:t>s</w:t>
        </w:r>
        <w:r>
          <w:rPr>
            <w:rStyle w:val="Hyperlink"/>
            <w:rFonts w:cs="Times New Roman" w:ascii="Times New Roman" w:hAnsi="Times New Roman"/>
            <w:color w:val="auto"/>
            <w:sz w:val="24"/>
            <w:szCs w:val="24"/>
          </w:rPr>
          <w:t>-</w:t>
        </w:r>
        <w:r>
          <w:rPr>
            <w:rStyle w:val="Hyperlink"/>
            <w:rFonts w:cs="Times New Roman" w:ascii="Times New Roman" w:hAnsi="Times New Roman"/>
            <w:color w:val="auto"/>
            <w:sz w:val="24"/>
            <w:szCs w:val="24"/>
            <w:lang w:val="en-US"/>
          </w:rPr>
          <w:t>tender</w:t>
        </w:r>
        <w:r>
          <w:rPr>
            <w:rStyle w:val="Hyperlink"/>
            <w:rFonts w:cs="Times New Roman" w:ascii="Times New Roman" w:hAnsi="Times New Roman"/>
            <w:color w:val="auto"/>
            <w:sz w:val="24"/>
            <w:szCs w:val="24"/>
          </w:rPr>
          <w:t>.ru/</w:t>
        </w:r>
      </w:hyperlink>
      <w:r>
        <w:rPr>
          <w:rFonts w:cs="Times New Roman" w:ascii="Times New Roman" w:hAnsi="Times New Roman"/>
          <w:sz w:val="24"/>
          <w:szCs w:val="24"/>
        </w:rPr>
        <w:t xml:space="preserve"> (далее – электронная площадка).</w:t>
      </w:r>
    </w:p>
    <w:p>
      <w:pPr>
        <w:pStyle w:val="ConsPlusNormal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Регистрация на электронной площадке осуществляется без взимания платы.</w:t>
      </w:r>
    </w:p>
    <w:p>
      <w:pPr>
        <w:pStyle w:val="ConsPlusNormal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площадке, была ими прекращена. </w:t>
      </w:r>
    </w:p>
    <w:p>
      <w:pPr>
        <w:pStyle w:val="ConsPlusNormal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widowControl/>
        <w:numPr>
          <w:ilvl w:val="0"/>
          <w:numId w:val="0"/>
        </w:numPr>
        <w:suppressAutoHyphens w:val="true"/>
        <w:bidi w:val="0"/>
        <w:spacing w:before="0" w:after="0"/>
        <w:ind w:hanging="0" w:left="57" w:righ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5. Порядок ознакомления Претендентов с иной информацией об аукционе и имуществе, условиями договора купли-продажи Объектов аукциона.</w:t>
      </w:r>
    </w:p>
    <w:p>
      <w:pPr>
        <w:pStyle w:val="ConsPlusNormal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Любое лицо независимо от регистрации на электронной площадке вправе направить на электронный адрес Организатора запрос о разъяснении размещенной информации.</w:t>
      </w:r>
    </w:p>
    <w:p>
      <w:pPr>
        <w:pStyle w:val="ConsPlusNormal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рабочих дней до окончания подачи заявок. </w:t>
      </w:r>
    </w:p>
    <w:p>
      <w:pPr>
        <w:pStyle w:val="ConsPlusNormal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течение 2 рабочих дней со дня поступления запроса Продавец предоставляет Организатору для размещения в открытом доступе разъяснение с указанием предмета запроса, но без указания лица от которого поступил запрос.</w:t>
      </w:r>
    </w:p>
    <w:p>
      <w:pPr>
        <w:pStyle w:val="ConsPlusNormal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случае направления запроса иностранными лицами такой запрос должен иметь перевод на русский язык.</w:t>
      </w:r>
    </w:p>
    <w:p>
      <w:pPr>
        <w:pStyle w:val="ConsPlusNormal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numPr>
          <w:ilvl w:val="0"/>
          <w:numId w:val="0"/>
        </w:numPr>
        <w:ind w:hanging="0" w:left="126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6. Ограничения участия в аукционе отдельных категорий граждан и юридических лиц</w:t>
      </w:r>
    </w:p>
    <w:p>
      <w:pPr>
        <w:pStyle w:val="ConsPlusNormal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 участию в аукционе допускаются физические и  юридические лица, в том числе индивидуальные предприниматели, признаваемые покупателями в соответствии со ст. 5 Федерального закона от 21.12.2001 № 178-ФЗ «О приватизации государственного и муниципального имущества», своевременно подавшие Заявку, представившие надлежавшим образом оформленные документы в соответствие с информационным сообщением, и обеспечившие поступление на счет, указанный в информационном сообщении, установленного размера задаток в порядке и сроки, указанные в Информационном сообщении.</w:t>
      </w:r>
    </w:p>
    <w:p>
      <w:pPr>
        <w:pStyle w:val="ConsPlusNormal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Ограничения на участие в аукционе нерезидентов Российской Федерации, а также резидентов Российской Федерации, имеющих в качестве учредителей (участников) и аффилированных лиц иностранных физических и юридических лиц отсутствуют.</w:t>
      </w:r>
    </w:p>
    <w:p>
      <w:pPr>
        <w:pStyle w:val="ConsPlusNormal"/>
        <w:ind w:firstLine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numPr>
          <w:ilvl w:val="0"/>
          <w:numId w:val="0"/>
        </w:numPr>
        <w:ind w:hanging="0" w:left="126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7. Порядок приема/подачи/отзыва Заявок</w:t>
      </w:r>
    </w:p>
    <w:p>
      <w:pPr>
        <w:pStyle w:val="ConsPlusNormal"/>
        <w:numPr>
          <w:ilvl w:val="0"/>
          <w:numId w:val="0"/>
        </w:numPr>
        <w:ind w:hanging="0"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7.1. </w:t>
      </w:r>
      <w:r>
        <w:rPr>
          <w:rFonts w:cs="Times New Roman" w:ascii="Times New Roman" w:hAnsi="Times New Roman"/>
          <w:sz w:val="24"/>
          <w:szCs w:val="24"/>
        </w:rPr>
        <w:t>Заявка подается путем заполнения ее электронной формы, размещенной в открытой для доступа неограниченного круга лиц части электронной площадки, с приложением электронных документов либо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реквизитов.</w:t>
      </w:r>
    </w:p>
    <w:p>
      <w:pPr>
        <w:pStyle w:val="ConsPlusNormal"/>
        <w:numPr>
          <w:ilvl w:val="0"/>
          <w:numId w:val="0"/>
        </w:numPr>
        <w:ind w:hanging="0"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  <w:u w:val="none"/>
        </w:rPr>
        <w:t>7.2.</w:t>
      </w:r>
      <w:r>
        <w:rPr>
          <w:rFonts w:cs="Times New Roman" w:ascii="Times New Roman" w:hAnsi="Times New Roman"/>
          <w:sz w:val="24"/>
          <w:szCs w:val="24"/>
          <w:u w:val="single"/>
        </w:rPr>
        <w:t xml:space="preserve"> Одно лицо может подать только одну Заявку по одному лоту.</w:t>
      </w:r>
    </w:p>
    <w:p>
      <w:pPr>
        <w:pStyle w:val="ConsPlusNormal"/>
        <w:numPr>
          <w:ilvl w:val="0"/>
          <w:numId w:val="0"/>
        </w:numPr>
        <w:ind w:hanging="0"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7.3.</w:t>
      </w:r>
      <w:r>
        <w:rPr>
          <w:rFonts w:cs="Times New Roman" w:ascii="Times New Roman" w:hAnsi="Times New Roman"/>
          <w:sz w:val="24"/>
          <w:szCs w:val="24"/>
        </w:rPr>
        <w:t xml:space="preserve"> Заявки подаются на электронную площадку начиная с даты начала приема/подачи Заявок до времени и даты окончания приема/подачи Заявок, указанных в Информационном сообщении.</w:t>
      </w:r>
    </w:p>
    <w:p>
      <w:pPr>
        <w:pStyle w:val="ConsPlusNormal"/>
        <w:numPr>
          <w:ilvl w:val="0"/>
          <w:numId w:val="0"/>
        </w:numPr>
        <w:ind w:hanging="0"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7.4.</w:t>
      </w:r>
      <w:r>
        <w:rPr>
          <w:rFonts w:cs="Times New Roman" w:ascii="Times New Roman" w:hAnsi="Times New Roman"/>
          <w:sz w:val="24"/>
          <w:szCs w:val="24"/>
        </w:rPr>
        <w:t xml:space="preserve"> При приеме Заявок от Претендентов Организатор обеспечивает:</w:t>
      </w:r>
    </w:p>
    <w:p>
      <w:pPr>
        <w:pStyle w:val="ConsPlusNormal"/>
        <w:ind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регистрацию Заявок и прилагаемых к ним документов в журнале приема Заявок. Каждой Заявке присваивается номер с указанием даты и времени приема;</w:t>
      </w:r>
    </w:p>
    <w:p>
      <w:pPr>
        <w:pStyle w:val="ConsPlusNormal"/>
        <w:ind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конфиденциальность данных о Претендентах и Участниках, за исключением случая направления электронных документов Продавцу в порядке, установленном 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форме».</w:t>
      </w:r>
    </w:p>
    <w:p>
      <w:pPr>
        <w:pStyle w:val="S1"/>
        <w:spacing w:beforeAutospacing="0" w:before="0" w:afterAutospacing="0" w:after="0"/>
        <w:jc w:val="both"/>
        <w:rPr>
          <w:rFonts w:ascii="Arial" w:hAnsi="Arial" w:cs="Arial"/>
          <w:b/>
          <w:bCs/>
          <w:sz w:val="15"/>
          <w:szCs w:val="15"/>
        </w:rPr>
      </w:pPr>
      <w:r>
        <w:rPr>
          <w:b/>
          <w:bCs/>
        </w:rPr>
        <w:t>7.5.</w:t>
      </w:r>
      <w:r>
        <w:rPr>
          <w:rFonts w:cs="Arial" w:ascii="Arial" w:hAnsi="Arial"/>
          <w:b/>
          <w:bCs/>
          <w:sz w:val="15"/>
          <w:szCs w:val="15"/>
        </w:rPr>
        <w:tab/>
      </w:r>
      <w:r>
        <w:rPr>
          <w:bCs/>
        </w:rPr>
        <w:t>Заявки с прилагаемыми к ним документами, поданные с нарушением установленного срока, на электронной площадке не регистрируются.</w:t>
      </w:r>
    </w:p>
    <w:p>
      <w:pPr>
        <w:pStyle w:val="S1"/>
        <w:spacing w:beforeAutospacing="0" w:before="0" w:afterAutospacing="0" w:after="0"/>
        <w:jc w:val="both"/>
        <w:rPr>
          <w:bCs/>
        </w:rPr>
      </w:pPr>
      <w:r>
        <w:rPr>
          <w:b/>
          <w:bCs/>
        </w:rPr>
        <w:t xml:space="preserve">7.6. </w:t>
        <w:tab/>
      </w:r>
      <w:r>
        <w:rPr>
          <w:bCs/>
        </w:rPr>
        <w:t>Заявка и прилагаемые к ней документы прилагаются Заявителем единовременно. Не допускается раздельная подача Заявки и прилагаемых к ней документов, представление дополнительных документов после подачи Заявки или замена ранее поданных документов без отзыва Заявки.</w:t>
      </w:r>
    </w:p>
    <w:p>
      <w:pPr>
        <w:pStyle w:val="S1"/>
        <w:spacing w:beforeAutospacing="0" w:before="0" w:afterAutospacing="0" w:after="0"/>
        <w:jc w:val="both"/>
        <w:rPr>
          <w:rFonts w:ascii="Arial" w:hAnsi="Arial" w:cs="Arial"/>
          <w:b/>
          <w:bCs/>
          <w:sz w:val="15"/>
          <w:szCs w:val="15"/>
        </w:rPr>
      </w:pPr>
      <w:r>
        <w:rPr>
          <w:b/>
          <w:bCs/>
        </w:rPr>
        <w:t xml:space="preserve">7.7. </w:t>
      </w:r>
      <w:r>
        <w:rPr>
          <w:rFonts w:cs="Arial" w:ascii="Arial" w:hAnsi="Arial"/>
          <w:b/>
          <w:bCs/>
          <w:sz w:val="15"/>
          <w:szCs w:val="15"/>
        </w:rPr>
        <w:t> </w:t>
        <w:tab/>
      </w:r>
      <w:r>
        <w:rPr>
          <w:bCs/>
        </w:rPr>
        <w:t>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>
      <w:pPr>
        <w:pStyle w:val="S1"/>
        <w:spacing w:beforeAutospacing="0" w:before="0" w:afterAutospacing="0" w:after="0"/>
        <w:jc w:val="both"/>
        <w:rPr>
          <w:bCs/>
        </w:rPr>
      </w:pPr>
      <w:r>
        <w:rPr>
          <w:b/>
          <w:bCs/>
        </w:rPr>
        <w:t xml:space="preserve">7.8. </w:t>
        <w:tab/>
      </w:r>
      <w:r>
        <w:rPr>
          <w:bCs/>
        </w:rPr>
        <w:t>В случае отзыва претендентом Заявки, уведомление об отзыве Заявки вместе с Заявкой в течение одного часа поступает в "личный кабинет" Продавца, о чем Претенденту направляется соответствующее уведомление.</w:t>
      </w:r>
    </w:p>
    <w:p>
      <w:pPr>
        <w:pStyle w:val="S1"/>
        <w:spacing w:beforeAutospacing="0" w:before="0" w:afterAutospacing="0" w:after="0"/>
        <w:jc w:val="both"/>
        <w:rPr>
          <w:bCs/>
        </w:rPr>
      </w:pPr>
      <w:r>
        <w:rPr>
          <w:b/>
          <w:bCs/>
        </w:rPr>
        <w:t xml:space="preserve">7.9. </w:t>
        <w:tab/>
      </w:r>
      <w:r>
        <w:rPr>
          <w:bCs/>
        </w:rPr>
        <w:t>Претендент вправе повторно подать Заявку в порядке, установленном в Информационном сообщении, при условии отзыва ранее поданной Заявки.</w:t>
      </w:r>
    </w:p>
    <w:p>
      <w:pPr>
        <w:pStyle w:val="S1"/>
        <w:spacing w:beforeAutospacing="0" w:before="0" w:afterAutospacing="0" w:after="0"/>
        <w:jc w:val="both"/>
        <w:rPr>
          <w:b/>
        </w:rPr>
      </w:pPr>
      <w:r>
        <w:rPr>
          <w:b/>
          <w:bCs/>
        </w:rPr>
        <w:t xml:space="preserve">7.10. </w:t>
        <w:tab/>
      </w:r>
      <w:r>
        <w:rPr>
          <w:b/>
        </w:rPr>
        <w:t>Одновременно с Заявкой на участие в аукционе Претенденты представляют следующие документы в форме электронных документов либо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подписью:</w:t>
      </w:r>
    </w:p>
    <w:p>
      <w:pPr>
        <w:pStyle w:val="S1"/>
        <w:spacing w:beforeAutospacing="0" w:before="0" w:afterAutospacing="0" w:after="0"/>
        <w:jc w:val="both"/>
        <w:rPr>
          <w:bCs/>
        </w:rPr>
      </w:pPr>
      <w:r>
        <w:rPr>
          <w:b/>
          <w:bCs/>
        </w:rPr>
        <w:t xml:space="preserve">7.10.1. </w:t>
      </w:r>
      <w:r>
        <w:rPr/>
        <w:t>для</w:t>
      </w:r>
      <w:r>
        <w:rPr>
          <w:b/>
          <w:bCs/>
        </w:rPr>
        <w:t xml:space="preserve"> </w:t>
      </w:r>
      <w:r>
        <w:rPr>
          <w:bCs/>
        </w:rPr>
        <w:t>юридических лиц:</w:t>
      </w:r>
    </w:p>
    <w:p>
      <w:pPr>
        <w:pStyle w:val="Normal"/>
        <w:ind w:firstLine="567"/>
        <w:jc w:val="both"/>
        <w:rPr>
          <w:spacing w:val="-2"/>
        </w:rPr>
      </w:pPr>
      <w:r>
        <w:rPr>
          <w:spacing w:val="-2"/>
        </w:rPr>
        <w:t>- заверенные копии учредительных документов;</w:t>
      </w:r>
    </w:p>
    <w:p>
      <w:pPr>
        <w:pStyle w:val="Normal"/>
        <w:ind w:firstLine="567"/>
        <w:jc w:val="both"/>
        <w:rPr/>
      </w:pPr>
      <w:r>
        <w:rPr>
          <w:spacing w:val="-2"/>
        </w:rPr>
        <w:t xml:space="preserve">- документ, содержащий </w:t>
      </w:r>
      <w:r>
        <w:rPr/>
        <w:t>сведения о доле Российской Федерации, субъекта Российской Федерации,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>
      <w:pPr>
        <w:pStyle w:val="S1"/>
        <w:spacing w:beforeAutospacing="0" w:before="0" w:afterAutospacing="0" w:after="0"/>
        <w:jc w:val="both"/>
        <w:rPr/>
      </w:pPr>
      <w:r>
        <w:rPr/>
        <w:t xml:space="preserve">         </w:t>
      </w:r>
      <w:r>
        <w:rPr/>
        <w:t>- документ, который подтверждает полномочия руководителя юридического лица на осуществление действий от имени юридического лица с правом действовать от имени юридического лица без доверенности (копия решения о его назначении или избрании);</w:t>
      </w:r>
    </w:p>
    <w:p>
      <w:pPr>
        <w:pStyle w:val="S1"/>
        <w:spacing w:beforeAutospacing="0" w:before="0" w:afterAutospacing="0" w:after="0"/>
        <w:jc w:val="both"/>
        <w:rPr>
          <w:b/>
        </w:rPr>
      </w:pPr>
      <w:r>
        <w:rPr>
          <w:b/>
        </w:rPr>
        <w:t xml:space="preserve">7.10.2. </w:t>
      </w:r>
      <w:r>
        <w:rPr/>
        <w:t>физические лица, в том числе индивидуальные предприниматели:</w:t>
      </w:r>
    </w:p>
    <w:p>
      <w:pPr>
        <w:pStyle w:val="S1"/>
        <w:spacing w:beforeAutospacing="0" w:before="0" w:afterAutospacing="0" w:after="0"/>
        <w:jc w:val="both"/>
        <w:rPr/>
      </w:pPr>
      <w:r>
        <w:rPr/>
        <w:t xml:space="preserve">         </w:t>
      </w:r>
      <w:r>
        <w:rPr/>
        <w:t>- документ, удостоверяющий личность, или представляют копии всех его листов (20 страниц паспорта);</w:t>
      </w:r>
    </w:p>
    <w:p>
      <w:pPr>
        <w:pStyle w:val="S1"/>
        <w:spacing w:beforeAutospacing="0" w:before="0" w:afterAutospacing="0" w:after="0"/>
        <w:jc w:val="both"/>
        <w:rPr/>
      </w:pPr>
      <w:r>
        <w:rPr/>
        <w:t>Документы, входящие в состав Заявки, должны иметь четко читаемый текст. Кроме того, Заявитель предоставляет документ, подтверждающий внесение задатка.</w:t>
      </w:r>
    </w:p>
    <w:p>
      <w:pPr>
        <w:pStyle w:val="S1"/>
        <w:spacing w:beforeAutospacing="0" w:before="0" w:afterAutospacing="0" w:after="0"/>
        <w:jc w:val="both"/>
        <w:rPr>
          <w:b/>
          <w:bCs/>
        </w:rPr>
      </w:pPr>
      <w:r>
        <w:rPr>
          <w:b/>
        </w:rPr>
        <w:t>7.11.</w:t>
      </w:r>
      <w:r>
        <w:rPr>
          <w:position w:val="-2"/>
        </w:rPr>
        <w:t xml:space="preserve"> </w:t>
        <w:tab/>
        <w:t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b/>
          <w:i/>
          <w:i/>
          <w:sz w:val="28"/>
          <w:szCs w:val="28"/>
          <w:u w:val="single"/>
        </w:rPr>
      </w:pPr>
      <w:r>
        <w:rPr>
          <w:rFonts w:cs="Times New Roman" w:ascii="Times New Roman" w:hAnsi="Times New Roman"/>
          <w:bCs/>
          <w:sz w:val="24"/>
          <w:szCs w:val="24"/>
        </w:rPr>
        <w:br/>
      </w:r>
      <w:r>
        <w:rPr>
          <w:rFonts w:cs="Times New Roman" w:ascii="Times New Roman" w:hAnsi="Times New Roman"/>
          <w:b/>
          <w:bCs/>
          <w:sz w:val="24"/>
          <w:szCs w:val="24"/>
        </w:rPr>
        <w:t>8. Порядок внесения и возврата задатка</w:t>
        <w:br/>
      </w:r>
      <w:r>
        <w:rPr>
          <w:rFonts w:cs="Times New Roman" w:ascii="Times New Roman" w:hAnsi="Times New Roman"/>
          <w:b/>
          <w:i/>
          <w:sz w:val="28"/>
          <w:szCs w:val="28"/>
          <w:u w:val="single"/>
        </w:rPr>
        <w:t>ВНИМАНИЕ!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Данное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является акцептом такой оферты, после чего договор о задатке считается заключенным в письменной форме.</w:t>
      </w:r>
    </w:p>
    <w:p>
      <w:pPr>
        <w:pStyle w:val="Normal"/>
        <w:jc w:val="both"/>
        <w:rPr/>
      </w:pPr>
      <w:r>
        <w:rPr>
          <w:b/>
        </w:rPr>
        <w:t xml:space="preserve">8.1. </w:t>
        <w:tab/>
      </w:r>
      <w:r>
        <w:rPr/>
        <w:t>Для участия в аукционе Претенденты перечисляют задаток в размере 10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с приложением электронных документов в соответствии с перечнем, приведенным в Информационном сообщении о проведении аукциона.</w:t>
      </w:r>
    </w:p>
    <w:p>
      <w:pPr>
        <w:pStyle w:val="Normal"/>
        <w:jc w:val="both"/>
        <w:rPr>
          <w:rFonts w:ascii="Verdana" w:hAnsi="Verdana"/>
          <w:b/>
          <w:sz w:val="21"/>
          <w:szCs w:val="21"/>
        </w:rPr>
      </w:pPr>
      <w:r>
        <w:rPr>
          <w:b/>
        </w:rPr>
        <w:t xml:space="preserve">8.2. </w:t>
        <w:tab/>
      </w:r>
      <w:r>
        <w:rPr/>
        <w:t>Денежные средства в качестве задатка для участия в аукционе вносятся Претендентом по следующим банковским реквизитам:</w:t>
      </w:r>
    </w:p>
    <w:p>
      <w:pPr>
        <w:pStyle w:val="NormalWeb"/>
        <w:spacing w:lineRule="auto" w:line="240" w:beforeAutospacing="0" w:before="0" w:afterAutospacing="0" w:after="0"/>
        <w:rPr>
          <w:rFonts w:ascii="Times New Roman" w:hAnsi="Times New Roman"/>
          <w:bCs/>
          <w:color w:val="auto"/>
          <w:sz w:val="24"/>
          <w:szCs w:val="24"/>
        </w:rPr>
      </w:pPr>
      <w:r>
        <w:rPr>
          <w:rFonts w:ascii="Times New Roman" w:hAnsi="Times New Roman"/>
          <w:bCs/>
          <w:color w:val="auto"/>
          <w:sz w:val="24"/>
          <w:szCs w:val="24"/>
        </w:rPr>
        <w:t>Получатель: ООО «РТС-Тендер»</w:t>
      </w:r>
    </w:p>
    <w:p>
      <w:pPr>
        <w:pStyle w:val="NormalWeb"/>
        <w:spacing w:lineRule="auto" w:line="240" w:beforeAutospacing="0" w:before="0" w:afterAutospacing="0" w:after="0"/>
        <w:rPr>
          <w:rFonts w:ascii="Times New Roman" w:hAnsi="Times New Roman"/>
          <w:bCs/>
          <w:color w:val="auto"/>
          <w:sz w:val="24"/>
          <w:szCs w:val="24"/>
        </w:rPr>
      </w:pPr>
      <w:r>
        <w:rPr>
          <w:rFonts w:ascii="Times New Roman" w:hAnsi="Times New Roman"/>
          <w:bCs/>
          <w:color w:val="auto"/>
          <w:sz w:val="24"/>
          <w:szCs w:val="24"/>
        </w:rPr>
        <w:t>Наименование банка: филиал «Корпоративный» ПАО «Совкомбанк»</w:t>
      </w:r>
    </w:p>
    <w:p>
      <w:pPr>
        <w:pStyle w:val="NormalWeb"/>
        <w:spacing w:lineRule="auto" w:line="240" w:beforeAutospacing="0" w:before="0" w:afterAutospacing="0" w:after="0"/>
        <w:rPr>
          <w:rFonts w:ascii="Times New Roman" w:hAnsi="Times New Roman" w:eastAsia="sans-serif"/>
          <w:color w:val="auto"/>
          <w:sz w:val="24"/>
          <w:szCs w:val="24"/>
          <w:shd w:fill="FBFBFB" w:val="clear"/>
        </w:rPr>
      </w:pPr>
      <w:r>
        <w:rPr>
          <w:rFonts w:ascii="Times New Roman" w:hAnsi="Times New Roman"/>
          <w:bCs/>
          <w:color w:val="auto"/>
          <w:sz w:val="24"/>
          <w:szCs w:val="24"/>
        </w:rPr>
        <w:t xml:space="preserve">Расчетный счет: </w:t>
      </w:r>
      <w:r>
        <w:rPr>
          <w:rFonts w:eastAsia="sans-serif" w:ascii="Times New Roman" w:hAnsi="Times New Roman"/>
          <w:bCs/>
          <w:color w:val="000000"/>
          <w:sz w:val="24"/>
          <w:szCs w:val="24"/>
          <w:shd w:fill="FBFBFB" w:val="clear"/>
        </w:rPr>
        <w:t>4070</w:t>
      </w:r>
      <w:r>
        <w:rPr>
          <w:rFonts w:eastAsia="sans-serif" w:ascii="Times New Roman" w:hAnsi="Times New Roman"/>
          <w:color w:val="000000"/>
          <w:sz w:val="24"/>
          <w:szCs w:val="24"/>
          <w:shd w:fill="FBFBFB" w:val="clear"/>
        </w:rPr>
        <w:t>2810512030016362</w:t>
      </w:r>
    </w:p>
    <w:p>
      <w:pPr>
        <w:pStyle w:val="NormalWeb"/>
        <w:spacing w:lineRule="auto" w:line="240" w:beforeAutospacing="0" w:before="0" w:afterAutospacing="0" w:after="0"/>
        <w:rPr>
          <w:rFonts w:ascii="Times New Roman" w:hAnsi="Times New Roman" w:eastAsia="sans-serif"/>
          <w:color w:val="auto"/>
          <w:sz w:val="24"/>
          <w:szCs w:val="24"/>
          <w:shd w:fill="FBFBFB" w:val="clear"/>
        </w:rPr>
      </w:pPr>
      <w:r>
        <w:rPr>
          <w:rFonts w:eastAsia="sans-serif" w:ascii="Times New Roman" w:hAnsi="Times New Roman"/>
          <w:color w:val="000000"/>
          <w:sz w:val="24"/>
          <w:szCs w:val="24"/>
          <w:shd w:fill="FBFBFB" w:val="clear"/>
        </w:rPr>
        <w:t>Корр.счет: 30101810445250000360</w:t>
      </w:r>
    </w:p>
    <w:p>
      <w:pPr>
        <w:pStyle w:val="NormalWeb"/>
        <w:spacing w:lineRule="auto" w:line="240" w:beforeAutospacing="0" w:before="0" w:afterAutospacing="0" w:after="0"/>
        <w:rPr>
          <w:rFonts w:ascii="Times New Roman" w:hAnsi="Times New Roman" w:eastAsia="sans-serif"/>
          <w:color w:val="auto"/>
          <w:sz w:val="24"/>
          <w:szCs w:val="24"/>
          <w:shd w:fill="FBFBFB" w:val="clear"/>
        </w:rPr>
      </w:pPr>
      <w:r>
        <w:rPr>
          <w:rFonts w:eastAsia="sans-serif" w:ascii="Times New Roman" w:hAnsi="Times New Roman"/>
          <w:color w:val="000000"/>
          <w:sz w:val="24"/>
          <w:szCs w:val="24"/>
          <w:shd w:fill="FBFBFB" w:val="clear"/>
        </w:rPr>
        <w:t>БИК: 044525360</w:t>
      </w:r>
    </w:p>
    <w:p>
      <w:pPr>
        <w:pStyle w:val="NormalWeb"/>
        <w:spacing w:lineRule="auto" w:line="240" w:beforeAutospacing="0" w:before="0" w:afterAutospacing="0" w:after="0"/>
        <w:rPr>
          <w:rFonts w:ascii="Times New Roman" w:hAnsi="Times New Roman" w:eastAsia="sans-serif"/>
          <w:color w:val="auto"/>
          <w:sz w:val="24"/>
          <w:szCs w:val="24"/>
          <w:shd w:fill="FBFBFB" w:val="clear"/>
        </w:rPr>
      </w:pPr>
      <w:r>
        <w:rPr>
          <w:rFonts w:eastAsia="sans-serif" w:ascii="Times New Roman" w:hAnsi="Times New Roman"/>
          <w:color w:val="000000"/>
          <w:sz w:val="24"/>
          <w:szCs w:val="24"/>
          <w:shd w:fill="FBFBFB" w:val="clear"/>
        </w:rPr>
        <w:t>ИНН: 7710357167</w:t>
      </w:r>
    </w:p>
    <w:p>
      <w:pPr>
        <w:pStyle w:val="NormalWeb"/>
        <w:spacing w:lineRule="auto" w:line="240" w:beforeAutospacing="0" w:before="0" w:afterAutospacing="0" w:after="0"/>
        <w:rPr>
          <w:rFonts w:ascii="Times New Roman" w:hAnsi="Times New Roman" w:eastAsia="sans-serif"/>
          <w:color w:val="auto"/>
          <w:sz w:val="24"/>
          <w:szCs w:val="24"/>
          <w:shd w:fill="FBFBFB" w:val="clear"/>
        </w:rPr>
      </w:pPr>
      <w:r>
        <w:rPr>
          <w:rFonts w:eastAsia="sans-serif" w:ascii="Times New Roman" w:hAnsi="Times New Roman"/>
          <w:color w:val="000000"/>
          <w:sz w:val="24"/>
          <w:szCs w:val="24"/>
          <w:shd w:fill="FBFBFB" w:val="clear"/>
        </w:rPr>
        <w:t>КПП: 773001001</w:t>
      </w:r>
    </w:p>
    <w:p>
      <w:pPr>
        <w:pStyle w:val="NormalWeb"/>
        <w:spacing w:lineRule="auto" w:line="240" w:beforeAutospacing="0" w:before="0" w:afterAutospacing="0" w:after="0"/>
        <w:rPr>
          <w:rFonts w:ascii="Times New Roman" w:hAnsi="Times New Roman" w:eastAsia="sans-serif"/>
          <w:color w:val="auto"/>
          <w:sz w:val="24"/>
          <w:szCs w:val="24"/>
          <w:shd w:fill="FBFBFB" w:val="clear"/>
        </w:rPr>
      </w:pPr>
      <w:r>
        <w:rPr>
          <w:rFonts w:eastAsia="sans-serif" w:ascii="Times New Roman" w:hAnsi="Times New Roman"/>
          <w:color w:val="000000"/>
          <w:sz w:val="24"/>
          <w:szCs w:val="24"/>
          <w:shd w:fill="FBFBFB" w:val="clear"/>
        </w:rPr>
        <w:t>Назначение платежа: Внесение гарантийного обеспечения по Соглашению о внесении гарантийного обеспечения, № аналитического счета _________, без НДС.</w:t>
      </w:r>
    </w:p>
    <w:p>
      <w:pPr>
        <w:pStyle w:val="NormalWeb"/>
        <w:spacing w:lineRule="auto" w:line="240" w:beforeAutospacing="0" w:before="0" w:afterAutospacing="0" w:after="0"/>
        <w:ind w:hanging="284"/>
        <w:rPr>
          <w:rFonts w:ascii="Times New Roman" w:hAnsi="Times New Roman"/>
          <w:bCs/>
          <w:color w:val="auto"/>
          <w:sz w:val="24"/>
          <w:szCs w:val="24"/>
        </w:rPr>
      </w:pPr>
      <w:r>
        <w:rPr>
          <w:rFonts w:ascii="Times New Roman" w:hAnsi="Times New Roman"/>
          <w:bCs/>
          <w:color w:val="auto"/>
          <w:sz w:val="24"/>
          <w:szCs w:val="24"/>
        </w:rPr>
        <w:tab/>
      </w: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8.3. </w:t>
        <w:tab/>
      </w:r>
      <w:r>
        <w:rPr>
          <w:rFonts w:ascii="Times New Roman" w:hAnsi="Times New Roman"/>
          <w:b/>
          <w:color w:val="auto"/>
          <w:sz w:val="24"/>
          <w:szCs w:val="24"/>
        </w:rPr>
        <w:t>Плательщиком задатка может быть исключительно Претендент</w:t>
      </w:r>
      <w:r>
        <w:rPr>
          <w:rFonts w:ascii="Times New Roman" w:hAnsi="Times New Roman"/>
          <w:bCs/>
          <w:color w:val="auto"/>
          <w:sz w:val="24"/>
          <w:szCs w:val="24"/>
        </w:rPr>
        <w:t>. Не допускается перечисление задатка иными лицами. Перечисленные денежные средства иными лицами, кроме Претендента, будут считаться ошибочно перечисленными денежными средствами, возвращены на счет плательщика.</w:t>
      </w:r>
    </w:p>
    <w:p>
      <w:pPr>
        <w:pStyle w:val="NormalWeb"/>
        <w:spacing w:lineRule="auto" w:line="240" w:beforeAutospacing="0" w:before="0" w:afterAutospacing="0" w:after="0"/>
        <w:ind w:hanging="284"/>
        <w:rPr>
          <w:rFonts w:ascii="Times New Roman" w:hAnsi="Times New Roman"/>
          <w:bCs/>
          <w:color w:val="auto"/>
          <w:sz w:val="24"/>
          <w:szCs w:val="24"/>
        </w:rPr>
      </w:pPr>
      <w:r>
        <w:rPr>
          <w:rFonts w:ascii="Times New Roman" w:hAnsi="Times New Roman"/>
          <w:bCs/>
          <w:color w:val="auto"/>
          <w:sz w:val="24"/>
          <w:szCs w:val="24"/>
        </w:rPr>
        <w:tab/>
      </w: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8.4. </w:t>
        <w:tab/>
      </w:r>
      <w:r>
        <w:rPr>
          <w:rFonts w:ascii="Times New Roman" w:hAnsi="Times New Roman"/>
          <w:bCs/>
          <w:color w:val="auto"/>
          <w:sz w:val="24"/>
          <w:szCs w:val="24"/>
        </w:rPr>
        <w:t>Документом, подтверждающим поступление задатка на счет, указанного в п. 8.2. Информационного сообщения, является выписка с этого счета, предоставляемая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подписью.</w:t>
      </w:r>
    </w:p>
    <w:p>
      <w:pPr>
        <w:pStyle w:val="NormalWeb"/>
        <w:spacing w:lineRule="auto" w:line="240" w:beforeAutospacing="0" w:before="0" w:afterAutospacing="0" w:after="0"/>
        <w:ind w:hanging="142"/>
        <w:rPr>
          <w:rFonts w:ascii="Times New Roman" w:hAnsi="Times New Roman"/>
          <w:bCs/>
          <w:color w:val="auto"/>
          <w:sz w:val="24"/>
          <w:szCs w:val="24"/>
        </w:rPr>
      </w:pPr>
      <w:r>
        <w:rPr>
          <w:rFonts w:ascii="Times New Roman" w:hAnsi="Times New Roman"/>
          <w:bCs/>
          <w:color w:val="auto"/>
          <w:sz w:val="24"/>
          <w:szCs w:val="24"/>
        </w:rPr>
        <w:tab/>
      </w: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8.5. </w:t>
      </w:r>
      <w:r>
        <w:rPr>
          <w:rFonts w:ascii="Times New Roman" w:hAnsi="Times New Roman"/>
          <w:bCs/>
          <w:color w:val="auto"/>
          <w:sz w:val="24"/>
          <w:szCs w:val="24"/>
        </w:rPr>
        <w:t>Денежные средства, перечисленные по платежным поручениям (квитанциям) об оплате задатка, оформленным не в соответствии с указанными требованиями, будут считаться ошибочно перечисленными денежными средствами и возвращены на счет плательщика.</w:t>
      </w:r>
    </w:p>
    <w:p>
      <w:pPr>
        <w:pStyle w:val="NormalWeb"/>
        <w:spacing w:lineRule="auto" w:line="240" w:beforeAutospacing="0" w:before="0" w:afterAutospacing="0" w:after="0"/>
        <w:ind w:hanging="142"/>
        <w:rPr>
          <w:rFonts w:ascii="Times New Roman" w:hAnsi="Times New Roman"/>
          <w:bCs/>
          <w:color w:val="auto"/>
          <w:sz w:val="24"/>
          <w:szCs w:val="24"/>
        </w:rPr>
      </w:pPr>
      <w:r>
        <w:rPr>
          <w:rFonts w:ascii="Times New Roman" w:hAnsi="Times New Roman"/>
          <w:bCs/>
          <w:color w:val="auto"/>
          <w:sz w:val="24"/>
          <w:szCs w:val="24"/>
        </w:rPr>
        <w:tab/>
      </w: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8.6. </w:t>
      </w:r>
      <w:r>
        <w:rPr>
          <w:rFonts w:ascii="Times New Roman" w:hAnsi="Times New Roman"/>
          <w:bCs/>
          <w:color w:val="auto"/>
          <w:sz w:val="24"/>
          <w:szCs w:val="24"/>
        </w:rPr>
        <w:t>В случае отзыва Претендентом Заявки в установленном порядке до даты окончания приема/подачи Заявок, поступившие от Претендента денежные средства, подлежат возврату в срок не позднее, чем 5 (пять) дней со дня поступления уведомления об отзыве Заявки.</w:t>
      </w:r>
    </w:p>
    <w:p>
      <w:pPr>
        <w:pStyle w:val="NormalWeb"/>
        <w:spacing w:lineRule="auto" w:line="240" w:beforeAutospacing="0" w:before="0" w:afterAutospacing="0" w:after="0"/>
        <w:ind w:hanging="142"/>
        <w:rPr>
          <w:rFonts w:ascii="Times New Roman" w:hAnsi="Times New Roman"/>
          <w:bCs/>
          <w:color w:val="auto"/>
          <w:sz w:val="24"/>
          <w:szCs w:val="24"/>
        </w:rPr>
      </w:pPr>
      <w:r>
        <w:rPr>
          <w:rFonts w:ascii="Times New Roman" w:hAnsi="Times New Roman"/>
          <w:bCs/>
          <w:color w:val="auto"/>
          <w:sz w:val="24"/>
          <w:szCs w:val="24"/>
        </w:rPr>
        <w:tab/>
      </w: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8.7.  </w:t>
      </w:r>
      <w:r>
        <w:rPr>
          <w:rFonts w:ascii="Times New Roman" w:hAnsi="Times New Roman"/>
          <w:bCs/>
          <w:color w:val="auto"/>
          <w:sz w:val="24"/>
          <w:szCs w:val="24"/>
        </w:rPr>
        <w:t>Участникам, за исключением Победителя аукциона, задатки возвращаются в течение 5 (пяти) дней с даты подведения итогов аукциона.</w:t>
      </w:r>
    </w:p>
    <w:p>
      <w:pPr>
        <w:pStyle w:val="NormalWeb"/>
        <w:spacing w:lineRule="auto" w:line="240" w:beforeAutospacing="0" w:before="0" w:afterAutospacing="0" w:after="0"/>
        <w:ind w:hanging="142"/>
        <w:rPr>
          <w:rFonts w:ascii="Times New Roman" w:hAnsi="Times New Roman"/>
          <w:bCs/>
          <w:color w:val="auto"/>
          <w:sz w:val="24"/>
          <w:szCs w:val="24"/>
        </w:rPr>
      </w:pPr>
      <w:r>
        <w:rPr>
          <w:rFonts w:ascii="Times New Roman" w:hAnsi="Times New Roman"/>
          <w:bCs/>
          <w:color w:val="auto"/>
          <w:sz w:val="24"/>
          <w:szCs w:val="24"/>
        </w:rPr>
        <w:tab/>
      </w: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8.8.  </w:t>
      </w:r>
      <w:r>
        <w:rPr>
          <w:rFonts w:ascii="Times New Roman" w:hAnsi="Times New Roman"/>
          <w:bCs/>
          <w:color w:val="auto"/>
          <w:sz w:val="24"/>
          <w:szCs w:val="24"/>
        </w:rPr>
        <w:t>Претендентам, не допущенным к участию в аукционе, денежные средства (задатки) возвращаются в течение 5 (пяти) дней со дня подписания протокола о признании Претендентов Участниками.</w:t>
      </w:r>
    </w:p>
    <w:p>
      <w:pPr>
        <w:pStyle w:val="NormalWeb"/>
        <w:spacing w:lineRule="auto" w:line="240" w:beforeAutospacing="0" w:before="0" w:afterAutospacing="0" w:after="0"/>
        <w:ind w:hanging="142"/>
        <w:rPr>
          <w:rFonts w:ascii="Times New Roman" w:hAnsi="Times New Roman"/>
          <w:bCs/>
          <w:color w:val="auto"/>
          <w:sz w:val="24"/>
          <w:szCs w:val="24"/>
        </w:rPr>
      </w:pPr>
      <w:r>
        <w:rPr>
          <w:rFonts w:ascii="Times New Roman" w:hAnsi="Times New Roman"/>
          <w:bCs/>
          <w:color w:val="auto"/>
          <w:sz w:val="24"/>
          <w:szCs w:val="24"/>
        </w:rPr>
        <w:tab/>
      </w: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8.9.  </w:t>
        <w:tab/>
      </w:r>
      <w:r>
        <w:rPr>
          <w:rFonts w:ascii="Times New Roman" w:hAnsi="Times New Roman"/>
          <w:bCs/>
          <w:color w:val="auto"/>
          <w:sz w:val="24"/>
          <w:szCs w:val="24"/>
        </w:rPr>
        <w:t>Задаток, внесенный лицом, признанным Победителем аукциона засчитывается в счет оплаты приобретаемого Объекта аукциона. При этом заключение договора купли-продажи для Победителя аукциона является обязательным.</w:t>
      </w:r>
    </w:p>
    <w:p>
      <w:pPr>
        <w:pStyle w:val="NormalWeb"/>
        <w:spacing w:lineRule="auto" w:line="240" w:beforeAutospacing="0" w:before="0" w:afterAutospacing="0" w:after="0"/>
        <w:ind w:hanging="142"/>
        <w:rPr>
          <w:rFonts w:ascii="Times New Roman" w:hAnsi="Times New Roman"/>
          <w:bCs/>
          <w:color w:val="auto"/>
          <w:sz w:val="24"/>
          <w:szCs w:val="24"/>
        </w:rPr>
      </w:pPr>
      <w:r>
        <w:rPr>
          <w:rFonts w:ascii="Times New Roman" w:hAnsi="Times New Roman"/>
          <w:bCs/>
          <w:color w:val="auto"/>
          <w:sz w:val="24"/>
          <w:szCs w:val="24"/>
        </w:rPr>
        <w:tab/>
      </w: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8.10. </w:t>
        <w:tab/>
      </w:r>
      <w:r>
        <w:rPr>
          <w:rFonts w:ascii="Times New Roman" w:hAnsi="Times New Roman"/>
          <w:bCs/>
          <w:color w:val="auto"/>
          <w:sz w:val="24"/>
          <w:szCs w:val="24"/>
        </w:rPr>
        <w:t>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>
      <w:pPr>
        <w:pStyle w:val="NormalWeb"/>
        <w:spacing w:lineRule="auto" w:line="240" w:beforeAutospacing="0" w:before="0" w:afterAutospacing="0" w:after="0"/>
        <w:ind w:hanging="142"/>
        <w:rPr>
          <w:rFonts w:ascii="Times New Roman" w:hAnsi="Times New Roman"/>
          <w:bCs/>
          <w:color w:val="auto"/>
          <w:sz w:val="24"/>
          <w:szCs w:val="24"/>
        </w:rPr>
      </w:pPr>
      <w:r>
        <w:rPr>
          <w:rFonts w:ascii="Times New Roman" w:hAnsi="Times New Roman"/>
          <w:bCs/>
          <w:color w:val="auto"/>
          <w:sz w:val="24"/>
          <w:szCs w:val="24"/>
        </w:rPr>
        <w:tab/>
        <w:t>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имущества, задаток ему не возвращается.</w:t>
      </w:r>
    </w:p>
    <w:p>
      <w:pPr>
        <w:pStyle w:val="NormalWeb"/>
        <w:spacing w:lineRule="auto" w:line="240" w:beforeAutospacing="0" w:before="0" w:afterAutospacing="0" w:after="0"/>
        <w:ind w:hanging="142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Cs/>
          <w:color w:val="auto"/>
          <w:sz w:val="24"/>
          <w:szCs w:val="24"/>
        </w:rPr>
        <w:tab/>
      </w: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8.11. </w:t>
        <w:tab/>
      </w:r>
      <w:r>
        <w:rPr>
          <w:rFonts w:ascii="Times New Roman" w:hAnsi="Times New Roman"/>
          <w:bCs/>
          <w:color w:val="auto"/>
          <w:sz w:val="24"/>
          <w:szCs w:val="24"/>
        </w:rPr>
        <w:t>В</w:t>
      </w:r>
      <w:r>
        <w:rPr>
          <w:rFonts w:ascii="Times New Roman" w:hAnsi="Times New Roman"/>
          <w:b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color w:val="auto"/>
          <w:sz w:val="24"/>
          <w:szCs w:val="24"/>
        </w:rPr>
        <w:t>случае отказа Продавца от проведения аукциона, поступившие задатки возвращаются Заявителям в течение 5 (пяти)</w:t>
      </w:r>
      <w:r>
        <w:rPr>
          <w:rFonts w:ascii="Times New Roman" w:hAnsi="Times New Roman"/>
          <w:b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color w:val="auto"/>
          <w:sz w:val="24"/>
          <w:szCs w:val="24"/>
        </w:rPr>
        <w:t>дней с даты принятия решения об отказе в проведении аукциона.</w:t>
      </w:r>
    </w:p>
    <w:p>
      <w:pPr>
        <w:pStyle w:val="NormalWeb"/>
        <w:spacing w:lineRule="auto" w:line="240" w:beforeAutospacing="0" w:before="0" w:afterAutospacing="0" w:after="0"/>
        <w:ind w:hanging="142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ab/>
      </w:r>
      <w:r>
        <w:rPr>
          <w:rFonts w:ascii="Times New Roman" w:hAnsi="Times New Roman"/>
          <w:b/>
          <w:bCs/>
          <w:color w:val="auto"/>
          <w:sz w:val="24"/>
          <w:szCs w:val="24"/>
        </w:rPr>
        <w:t>8.12.</w:t>
      </w:r>
      <w:r>
        <w:rPr>
          <w:rFonts w:ascii="Times New Roman" w:hAnsi="Times New Roman"/>
          <w:b/>
          <w:color w:val="auto"/>
          <w:sz w:val="24"/>
          <w:szCs w:val="24"/>
        </w:rPr>
        <w:t xml:space="preserve"> </w:t>
        <w:tab/>
      </w:r>
      <w:r>
        <w:rPr>
          <w:rFonts w:ascii="Times New Roman" w:hAnsi="Times New Roman"/>
          <w:color w:val="auto"/>
          <w:sz w:val="24"/>
          <w:szCs w:val="24"/>
        </w:rPr>
        <w:t>В случае изменения реквизитов Претендента/Участника для возврата задатка, указанных в Заявке, Претендент/Участник должен направить в адрес Организатора уведомление об их изменении, при этом денежные средства (задатки) возвращаются Претенденту/Участнику в порядке, установленном настоящим разделом.</w:t>
      </w:r>
    </w:p>
    <w:p>
      <w:pPr>
        <w:pStyle w:val="NormalWeb"/>
        <w:spacing w:lineRule="auto" w:line="240" w:beforeAutospacing="0" w:before="0" w:afterAutospacing="0" w:after="0"/>
        <w:ind w:hanging="142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</w:r>
    </w:p>
    <w:p>
      <w:pPr>
        <w:pStyle w:val="Normal"/>
        <w:ind w:left="2694"/>
        <w:rPr>
          <w:b/>
        </w:rPr>
      </w:pPr>
      <w:r>
        <w:rPr>
          <w:b/>
        </w:rPr>
        <w:t xml:space="preserve">9. Условия допуска к участию в аукционе </w:t>
      </w:r>
    </w:p>
    <w:p>
      <w:pPr>
        <w:pStyle w:val="Normal"/>
        <w:ind w:firstLine="567"/>
        <w:rPr/>
      </w:pPr>
      <w:r>
        <w:rPr/>
        <w:t>Претендент не допускается к участию в аукционе по следующим основаниям:</w:t>
      </w:r>
    </w:p>
    <w:p>
      <w:pPr>
        <w:pStyle w:val="Normal"/>
        <w:ind w:firstLine="567"/>
        <w:jc w:val="both"/>
        <w:rPr/>
      </w:pPr>
      <w:r>
        <w:rPr/>
        <w:t xml:space="preserve">- представленные документы не подтверждают право Претендента быть покупателем в соответствии с </w:t>
      </w:r>
      <w:hyperlink r:id="rId7">
        <w:r>
          <w:rPr>
            <w:rStyle w:val="ListLabel2"/>
          </w:rPr>
          <w:t>законодательством</w:t>
        </w:r>
      </w:hyperlink>
      <w:r>
        <w:rPr/>
        <w:t xml:space="preserve"> Российской Федерации;</w:t>
      </w:r>
    </w:p>
    <w:p>
      <w:pPr>
        <w:pStyle w:val="Normal"/>
        <w:ind w:firstLine="567"/>
        <w:jc w:val="both"/>
        <w:rPr/>
      </w:pPr>
      <w:r>
        <w:rPr/>
        <w:t>- представлены не все документы в соответствии с перечнем, указанным в информационном сообщении о проведении указанного аукциона или они оформлены не в соответствии с законодательством Российской Федерации;</w:t>
      </w:r>
    </w:p>
    <w:p>
      <w:pPr>
        <w:pStyle w:val="Normal"/>
        <w:ind w:firstLine="567"/>
        <w:jc w:val="both"/>
        <w:rPr/>
      </w:pPr>
      <w:r>
        <w:rPr/>
        <w:t>- Заявка подана лицом, не уполномоченным претендентом на осуществление таких действий;</w:t>
      </w:r>
    </w:p>
    <w:p>
      <w:pPr>
        <w:pStyle w:val="Normal"/>
        <w:ind w:firstLine="567"/>
        <w:jc w:val="both"/>
        <w:rPr/>
      </w:pPr>
      <w:r>
        <w:rPr/>
        <w:t>- не подтверждено поступление задатка на счет, указанный в информационном сообщении о проведении указанного аукциона, в установленный срок.</w:t>
      </w:r>
    </w:p>
    <w:p>
      <w:pPr>
        <w:pStyle w:val="Normal"/>
        <w:ind w:firstLine="567"/>
        <w:jc w:val="both"/>
        <w:rPr/>
      </w:pPr>
      <w:r>
        <w:rPr/>
      </w:r>
    </w:p>
    <w:p>
      <w:pPr>
        <w:pStyle w:val="Normal"/>
        <w:ind w:firstLine="567"/>
        <w:jc w:val="center"/>
        <w:rPr>
          <w:b/>
        </w:rPr>
      </w:pPr>
      <w:r>
        <w:rPr>
          <w:b/>
        </w:rPr>
        <w:t>10. Порядок определения Участников</w:t>
      </w:r>
    </w:p>
    <w:p>
      <w:pPr>
        <w:pStyle w:val="Normal"/>
        <w:shd w:val="clear" w:color="auto" w:fill="FFFFFF"/>
        <w:jc w:val="both"/>
        <w:textAlignment w:val="baseline"/>
        <w:rPr/>
      </w:pPr>
      <w:r>
        <w:rPr>
          <w:b/>
        </w:rPr>
        <w:t>10.1.</w:t>
      </w:r>
      <w:r>
        <w:rPr/>
        <w:tab/>
        <w:t>Решение о признании Претендентов Участниками аукциона принимается в течение 5 рабочих дней с даты окончания срока приема Заявок.</w:t>
      </w:r>
    </w:p>
    <w:p>
      <w:pPr>
        <w:pStyle w:val="Normal"/>
        <w:shd w:val="clear" w:color="auto" w:fill="FFFFFF"/>
        <w:jc w:val="both"/>
        <w:textAlignment w:val="baseline"/>
        <w:rPr/>
      </w:pPr>
      <w:r>
        <w:rPr>
          <w:b/>
        </w:rPr>
        <w:t>10.2.</w:t>
      </w:r>
      <w:r>
        <w:rPr/>
        <w:t xml:space="preserve"> </w:t>
        <w:tab/>
        <w:t>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отказа.</w:t>
      </w:r>
    </w:p>
    <w:p>
      <w:pPr>
        <w:pStyle w:val="Normal"/>
        <w:shd w:val="clear" w:color="auto" w:fill="FFFFFF"/>
        <w:jc w:val="both"/>
        <w:textAlignment w:val="baseline"/>
        <w:rPr/>
      </w:pPr>
      <w:r>
        <w:rPr>
          <w:b/>
        </w:rPr>
        <w:t>10.3.</w:t>
      </w:r>
      <w:r>
        <w:rPr/>
        <w:t xml:space="preserve"> </w:t>
        <w:tab/>
        <w:t>Информация о Претендентах, не допущенных к участию в аукционе, размещается в открытой части электронной площадки на Официальном сайте в сети "Интернет" для размещения информации о проведении торгов, определенном Правительством Российской Федерации, а также на сайте продавца в сети "Интернет" не позднее рабочего дня, следующего за днем подписания указанного протокола.</w:t>
      </w:r>
    </w:p>
    <w:p>
      <w:pPr>
        <w:pStyle w:val="Normal"/>
        <w:shd w:val="clear" w:color="auto" w:fill="FFFFFF"/>
        <w:jc w:val="both"/>
        <w:textAlignment w:val="baseline"/>
        <w:rPr/>
      </w:pPr>
      <w:r>
        <w:rPr>
          <w:b/>
        </w:rPr>
        <w:t xml:space="preserve">10.4. </w:t>
        <w:tab/>
      </w:r>
      <w:r>
        <w:rPr/>
        <w:t>Претенденты, признанные Участниками, и Претенденты, не допущенные к участию в аукционе, уведомляются о принятом решении не позднее следующего рабочего дня с даты оформления данного решения Протоколом о признании Претендентов Участниками аукциона путем направления электронного уведомления.</w:t>
      </w:r>
    </w:p>
    <w:p>
      <w:pPr>
        <w:pStyle w:val="Normal"/>
        <w:shd w:val="clear" w:color="auto" w:fill="FFFFFF"/>
        <w:jc w:val="both"/>
        <w:textAlignment w:val="baseline"/>
        <w:rPr/>
      </w:pPr>
      <w:r>
        <w:rPr>
          <w:b/>
        </w:rPr>
        <w:t>10.5.</w:t>
        <w:tab/>
      </w:r>
      <w:r>
        <w:rPr/>
        <w:t>Претендент приобретает статус Участника с момента оформления (подписания) Протокола о признании Претендентов Участниками аукциона.</w:t>
      </w:r>
    </w:p>
    <w:p>
      <w:pPr>
        <w:pStyle w:val="Normal"/>
        <w:shd w:val="clear" w:color="auto" w:fill="FFFFFF"/>
        <w:jc w:val="both"/>
        <w:textAlignment w:val="baseline"/>
        <w:rPr/>
      </w:pPr>
      <w:r>
        <w:rPr/>
      </w:r>
    </w:p>
    <w:p>
      <w:pPr>
        <w:pStyle w:val="Normal"/>
        <w:ind w:left="-510"/>
        <w:jc w:val="center"/>
        <w:rPr>
          <w:b/>
        </w:rPr>
      </w:pPr>
      <w:r>
        <w:rPr>
          <w:b/>
        </w:rPr>
        <w:t>11. Порядок проведения аукциона и определения Победителя аукциона</w:t>
      </w:r>
    </w:p>
    <w:p>
      <w:pPr>
        <w:pStyle w:val="Normal"/>
        <w:shd w:val="clear" w:color="auto" w:fill="FFFFFF"/>
        <w:jc w:val="both"/>
        <w:textAlignment w:val="baseline"/>
        <w:rPr/>
      </w:pPr>
      <w:r>
        <w:rPr>
          <w:b/>
        </w:rPr>
        <w:t>11.1.</w:t>
      </w:r>
      <w:r>
        <w:rPr/>
        <w:t xml:space="preserve"> </w:t>
        <w:tab/>
        <w:t>Процедура аукциона проводится в день и время, указанные в Информационном сообщении, путем последовательного повышения участниками начальной цены продажи на величину, равную либо кратную величине "шага аукциона".</w:t>
      </w:r>
    </w:p>
    <w:p>
      <w:pPr>
        <w:pStyle w:val="Normal"/>
        <w:shd w:val="clear" w:color="auto" w:fill="FFFFFF"/>
        <w:jc w:val="both"/>
        <w:textAlignment w:val="baseline"/>
        <w:rPr/>
      </w:pPr>
      <w:r>
        <w:rPr>
          <w:b/>
        </w:rPr>
        <w:t xml:space="preserve">11.2. </w:t>
        <w:tab/>
      </w:r>
      <w:r>
        <w:rPr/>
        <w:t>"Шаг аукциона" устанавливается Продавцом в фиксированной сумме, составляющей не более 5 процентов начальной цены продажи, и не изменяется в течение всего аукциона.</w:t>
      </w:r>
    </w:p>
    <w:p>
      <w:pPr>
        <w:pStyle w:val="Normal"/>
        <w:shd w:val="clear" w:color="auto" w:fill="FFFFFF"/>
        <w:jc w:val="both"/>
        <w:textAlignment w:val="baseline"/>
        <w:rPr/>
      </w:pPr>
      <w:r>
        <w:rPr>
          <w:b/>
        </w:rPr>
        <w:t>11.3.</w:t>
      </w:r>
      <w:r>
        <w:rPr/>
        <w:t xml:space="preserve"> </w:t>
        <w:tab/>
        <w:t>Со времени начала проведения процедуры аукциона Организатором размещается:</w:t>
      </w:r>
    </w:p>
    <w:p>
      <w:pPr>
        <w:pStyle w:val="Normal"/>
        <w:shd w:val="clear" w:color="auto" w:fill="FFFFFF"/>
        <w:jc w:val="both"/>
        <w:textAlignment w:val="baseline"/>
        <w:rPr/>
      </w:pPr>
      <w:r>
        <w:rPr/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"шага аукциона";</w:t>
      </w:r>
    </w:p>
    <w:p>
      <w:pPr>
        <w:pStyle w:val="Normal"/>
        <w:shd w:val="clear" w:color="auto" w:fill="FFFFFF"/>
        <w:jc w:val="both"/>
        <w:textAlignment w:val="baseline"/>
        <w:rPr/>
      </w:pPr>
      <w:r>
        <w:rPr/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("шаг аукциона"), время, оставшееся до окончания приема предложений о цене имущества.</w:t>
      </w:r>
    </w:p>
    <w:p>
      <w:pPr>
        <w:pStyle w:val="Normal"/>
        <w:shd w:val="clear" w:color="auto" w:fill="FFFFFF"/>
        <w:jc w:val="both"/>
        <w:textAlignment w:val="baseline"/>
        <w:rPr/>
      </w:pPr>
      <w:r>
        <w:rPr>
          <w:b/>
        </w:rPr>
        <w:t>11.4.</w:t>
      </w:r>
      <w:r>
        <w:rPr/>
        <w:t xml:space="preserve"> </w:t>
        <w:tab/>
        <w:t>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>
      <w:pPr>
        <w:pStyle w:val="Normal"/>
        <w:shd w:val="clear" w:color="auto" w:fill="FFFFFF"/>
        <w:jc w:val="both"/>
        <w:textAlignment w:val="baseline"/>
        <w:rPr/>
      </w:pPr>
      <w:r>
        <w:rPr/>
        <w:t>а) поступило предложение о начальной цене имущества, то время для представления следующих предложений об увеличенной на "шаг аукциона"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>
      <w:pPr>
        <w:pStyle w:val="Normal"/>
        <w:shd w:val="clear" w:color="auto" w:fill="FFFFFF"/>
        <w:jc w:val="both"/>
        <w:textAlignment w:val="baseline"/>
        <w:rPr/>
      </w:pPr>
      <w:r>
        <w:rPr/>
        <w:t xml:space="preserve">б) не поступило ни одного предложения о начальной цене имущества, то аукцион с помощью программно-аппаратных средств электронной площадки завершается. </w:t>
      </w:r>
    </w:p>
    <w:p>
      <w:pPr>
        <w:pStyle w:val="Normal"/>
        <w:shd w:val="clear" w:color="auto" w:fill="FFFFFF"/>
        <w:jc w:val="both"/>
        <w:textAlignment w:val="baseline"/>
        <w:rPr/>
      </w:pPr>
      <w:r>
        <w:rPr>
          <w:b/>
        </w:rPr>
        <w:t>11.5.</w:t>
        <w:tab/>
      </w:r>
      <w:r>
        <w:rPr/>
        <w:t>Победителем признается участник, предложивший наиболее высокую цену имущества.</w:t>
      </w:r>
    </w:p>
    <w:p>
      <w:pPr>
        <w:pStyle w:val="Normal"/>
        <w:shd w:val="clear" w:color="auto" w:fill="FFFFFF"/>
        <w:jc w:val="both"/>
        <w:textAlignment w:val="baseline"/>
        <w:rPr/>
      </w:pPr>
      <w:r>
        <w:rPr>
          <w:b/>
        </w:rPr>
        <w:t>11.6.</w:t>
      </w:r>
      <w:r>
        <w:rPr/>
        <w:t xml:space="preserve"> </w:t>
        <w:tab/>
        <w:t>Ход проведения процедуры аукциона фиксируется Организатором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</w:t>
      </w:r>
    </w:p>
    <w:p>
      <w:pPr>
        <w:pStyle w:val="Normal"/>
        <w:shd w:val="clear" w:color="auto" w:fill="FFFFFF"/>
        <w:jc w:val="both"/>
        <w:textAlignment w:val="baseline"/>
        <w:rPr/>
      </w:pPr>
      <w:r>
        <w:rPr>
          <w:b/>
        </w:rPr>
        <w:t xml:space="preserve">11.7. </w:t>
        <w:tab/>
      </w:r>
      <w:r>
        <w:rPr/>
        <w:t xml:space="preserve">Организатор приостанавливает проведение аукциона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аукциона начинается с того момента, на котором проведение аукциона было прервано. </w:t>
      </w:r>
    </w:p>
    <w:p>
      <w:pPr>
        <w:pStyle w:val="Normal"/>
        <w:shd w:val="clear" w:color="auto" w:fill="FFFFFF"/>
        <w:jc w:val="both"/>
        <w:textAlignment w:val="baseline"/>
        <w:rPr/>
      </w:pPr>
      <w:r>
        <w:rPr>
          <w:b/>
        </w:rPr>
        <w:t>11.8.</w:t>
      </w:r>
      <w:r>
        <w:rPr/>
        <w:tab/>
        <w:t>Протокол об итогах аукциона удостоверяет право Победителя на заключение договора купли-продажи имущества, содержит фамилию, имя, отчество или наименование юридического лица - Победителя аукциона, цену имущества, предложенную Победителем, фамилию, имя, отчество или наименование юридического лица - Участника продажи, который сделал предпоследнее предложение о цене такого имущества в ходе продажи,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аукциона.</w:t>
      </w:r>
    </w:p>
    <w:p>
      <w:pPr>
        <w:pStyle w:val="Normal"/>
        <w:shd w:val="clear" w:color="auto" w:fill="FFFFFF"/>
        <w:jc w:val="both"/>
        <w:textAlignment w:val="baseline"/>
        <w:rPr/>
      </w:pPr>
      <w:r>
        <w:rPr>
          <w:b/>
        </w:rPr>
        <w:t>11.9.</w:t>
      </w:r>
      <w:r>
        <w:rPr/>
        <w:t xml:space="preserve"> </w:t>
        <w:tab/>
        <w:t>Процедура аукциона считается завершенной со времени подписания продавцом протокола об итогах аукциона.</w:t>
      </w:r>
    </w:p>
    <w:p>
      <w:pPr>
        <w:pStyle w:val="Normal"/>
        <w:shd w:val="clear" w:color="auto" w:fill="FFFFFF"/>
        <w:jc w:val="both"/>
        <w:textAlignment w:val="baseline"/>
        <w:rPr/>
      </w:pPr>
      <w:r>
        <w:rPr>
          <w:b/>
        </w:rPr>
        <w:t>11.10.</w:t>
      </w:r>
      <w:r>
        <w:rPr/>
        <w:t xml:space="preserve"> </w:t>
        <w:tab/>
        <w:t>Аукцион признается несостоявшимся в следующих случаях:</w:t>
      </w:r>
    </w:p>
    <w:p>
      <w:pPr>
        <w:pStyle w:val="Normal"/>
        <w:shd w:val="clear" w:color="auto" w:fill="FFFFFF"/>
        <w:jc w:val="both"/>
        <w:textAlignment w:val="baseline"/>
        <w:rPr/>
      </w:pPr>
      <w:r>
        <w:rPr/>
        <w:t>а) не было подано ни одной Заявки на участие либо ни один из Претендентов не признан Участником;</w:t>
      </w:r>
    </w:p>
    <w:p>
      <w:pPr>
        <w:pStyle w:val="Normal"/>
        <w:shd w:val="clear" w:color="auto" w:fill="FFFFFF"/>
        <w:jc w:val="both"/>
        <w:textAlignment w:val="baseline"/>
        <w:rPr/>
      </w:pPr>
      <w:r>
        <w:rPr/>
        <w:t>б) принято решение о признании только одного Претендента Участником;</w:t>
      </w:r>
    </w:p>
    <w:p>
      <w:pPr>
        <w:pStyle w:val="Normal"/>
        <w:shd w:val="clear" w:color="auto" w:fill="FFFFFF"/>
        <w:jc w:val="both"/>
        <w:textAlignment w:val="baseline"/>
        <w:rPr/>
      </w:pPr>
      <w:r>
        <w:rPr/>
        <w:t>в) ни один из Участников не сделал предложение о начальной цене имущества;</w:t>
      </w:r>
    </w:p>
    <w:p>
      <w:pPr>
        <w:pStyle w:val="Normal"/>
        <w:shd w:val="clear" w:color="auto" w:fill="FFFFFF"/>
        <w:jc w:val="both"/>
        <w:textAlignment w:val="baseline"/>
        <w:rPr/>
      </w:pPr>
      <w:r>
        <w:rPr/>
        <w:t>г) в аукционе принял участие только один Участник.</w:t>
      </w:r>
    </w:p>
    <w:p>
      <w:pPr>
        <w:pStyle w:val="Normal"/>
        <w:shd w:val="clear" w:color="auto" w:fill="FFFFFF"/>
        <w:jc w:val="both"/>
        <w:textAlignment w:val="baseline"/>
        <w:rPr/>
      </w:pPr>
      <w:r>
        <w:rPr/>
        <w:t>Решение о признании аукциона несостоявшимся оформляется Протоколом.</w:t>
      </w:r>
    </w:p>
    <w:p>
      <w:pPr>
        <w:pStyle w:val="Normal"/>
        <w:shd w:val="clear" w:color="auto" w:fill="FFFFFF"/>
        <w:jc w:val="both"/>
        <w:textAlignment w:val="baseline"/>
        <w:rPr/>
      </w:pPr>
      <w:r>
        <w:rPr>
          <w:b/>
        </w:rPr>
        <w:t>11.11.</w:t>
      </w:r>
      <w:r>
        <w:rPr/>
        <w:tab/>
        <w:t>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Протокола, а также размещается в открытой части электронной площадки следующая информация:</w:t>
      </w:r>
    </w:p>
    <w:p>
      <w:pPr>
        <w:pStyle w:val="Normal"/>
        <w:shd w:val="clear" w:color="auto" w:fill="FFFFFF"/>
        <w:jc w:val="both"/>
        <w:textAlignment w:val="baseline"/>
        <w:rPr/>
      </w:pPr>
      <w:r>
        <w:rPr/>
        <w:t>а) наименование имущества и иные позволяющие его индивидуализировать сведения (спецификация лота);</w:t>
      </w:r>
    </w:p>
    <w:p>
      <w:pPr>
        <w:pStyle w:val="Normal"/>
        <w:shd w:val="clear" w:color="auto" w:fill="FFFFFF"/>
        <w:jc w:val="both"/>
        <w:textAlignment w:val="baseline"/>
        <w:rPr/>
      </w:pPr>
      <w:r>
        <w:rPr/>
        <w:t>б) цена сделки;</w:t>
      </w:r>
    </w:p>
    <w:p>
      <w:pPr>
        <w:pStyle w:val="Normal"/>
        <w:shd w:val="clear" w:color="auto" w:fill="FFFFFF"/>
        <w:jc w:val="both"/>
        <w:textAlignment w:val="baseline"/>
        <w:rPr>
          <w:rFonts w:ascii="Arial" w:hAnsi="Arial" w:cs="Arial"/>
          <w:sz w:val="20"/>
          <w:szCs w:val="20"/>
        </w:rPr>
      </w:pPr>
      <w:r>
        <w:rPr/>
        <w:t>в) фамилия, имя, отчество физического лица или наименование юридического лица - Победителя</w:t>
      </w:r>
      <w:r>
        <w:rPr>
          <w:rFonts w:cs="Arial" w:ascii="Arial" w:hAnsi="Arial"/>
          <w:sz w:val="20"/>
          <w:szCs w:val="20"/>
        </w:rPr>
        <w:t>.</w:t>
      </w:r>
    </w:p>
    <w:p>
      <w:pPr>
        <w:pStyle w:val="Normal"/>
        <w:shd w:val="clear" w:color="auto" w:fill="FFFFFF"/>
        <w:jc w:val="both"/>
        <w:textAlignment w:val="baseline"/>
        <w:rPr/>
      </w:pPr>
      <w:r>
        <w:rPr/>
        <w:t>Протокол об итогах аукциона размещается на официальном сайте в сети Интернет.</w:t>
      </w:r>
    </w:p>
    <w:p>
      <w:pPr>
        <w:pStyle w:val="Normal"/>
        <w:shd w:val="clear" w:color="auto" w:fill="FFFFFF"/>
        <w:jc w:val="both"/>
        <w:textAlignment w:val="baseline"/>
        <w:rPr/>
      </w:pPr>
      <w:r>
        <w:rPr/>
      </w:r>
    </w:p>
    <w:p>
      <w:pPr>
        <w:pStyle w:val="Normal"/>
        <w:jc w:val="center"/>
        <w:rPr>
          <w:b/>
        </w:rPr>
      </w:pPr>
      <w:r>
        <w:rPr>
          <w:b/>
        </w:rPr>
        <w:t>12. Условия и сроки оплаты по договору купли-продажи</w:t>
      </w:r>
    </w:p>
    <w:p>
      <w:pPr>
        <w:pStyle w:val="Normal"/>
        <w:jc w:val="both"/>
        <w:rPr/>
      </w:pPr>
      <w:r>
        <w:rPr>
          <w:b/>
          <w:position w:val="-2"/>
        </w:rPr>
        <w:t>12.1.</w:t>
      </w:r>
      <w:r>
        <w:rPr>
          <w:b/>
        </w:rPr>
        <w:t xml:space="preserve"> </w:t>
        <w:tab/>
      </w:r>
      <w:r>
        <w:rPr>
          <w:position w:val="-2"/>
        </w:rPr>
        <w:t>Оплата приобретаемого на аукционе Объекта аукциона производится Победителем аукциона путем перечисления денежных средств в валюте Российской Федерации на счет, в размере и сроки, указанные в договоре купли-продажи.</w:t>
      </w:r>
    </w:p>
    <w:p>
      <w:pPr>
        <w:pStyle w:val="Normal"/>
        <w:jc w:val="both"/>
        <w:rPr/>
      </w:pPr>
      <w:r>
        <w:rPr>
          <w:b/>
        </w:rPr>
        <w:t xml:space="preserve">12.2. </w:t>
      </w:r>
      <w:r>
        <w:rPr/>
        <w:t>Внесенный победителем продажи задаток засчитывается в счет оплаты приобретаемого имущества.</w:t>
      </w:r>
    </w:p>
    <w:p>
      <w:pPr>
        <w:pStyle w:val="Normal"/>
        <w:jc w:val="both"/>
        <w:rPr/>
      </w:pPr>
      <w:r>
        <w:rPr>
          <w:b/>
          <w:position w:val="-2"/>
        </w:rPr>
        <w:t>12.3.</w:t>
      </w:r>
      <w:r>
        <w:rPr>
          <w:b/>
        </w:rPr>
        <w:tab/>
      </w:r>
      <w:r>
        <w:rPr/>
        <w:t>Факт оплаты имущества подтверждается выпиской со счета, указанного в договоре купли-продажи.</w:t>
      </w:r>
    </w:p>
    <w:p>
      <w:pPr>
        <w:pStyle w:val="Normal"/>
        <w:jc w:val="both"/>
        <w:rPr>
          <w:rFonts w:ascii="Arial" w:hAnsi="Arial" w:cs="Arial"/>
          <w:sz w:val="20"/>
          <w:szCs w:val="20"/>
          <w:shd w:fill="FFFFFF" w:val="clear"/>
        </w:rPr>
      </w:pPr>
      <w:r>
        <w:rPr>
          <w:b/>
        </w:rPr>
        <w:t xml:space="preserve">12.4. </w:t>
        <w:tab/>
        <w:t xml:space="preserve"> </w:t>
      </w:r>
      <w:r>
        <w:rPr>
          <w:shd w:fill="FFFFFF" w:val="clear"/>
        </w:rPr>
        <w:t>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</w:t>
      </w:r>
      <w:r>
        <w:rPr>
          <w:rFonts w:cs="Arial" w:ascii="Arial" w:hAnsi="Arial"/>
          <w:sz w:val="20"/>
          <w:szCs w:val="20"/>
          <w:shd w:fill="FFFFFF" w:val="clear"/>
        </w:rPr>
        <w:t>.</w:t>
      </w:r>
    </w:p>
    <w:p>
      <w:pPr>
        <w:pStyle w:val="Normal"/>
        <w:jc w:val="center"/>
        <w:rPr>
          <w:b/>
        </w:rPr>
      </w:pPr>
      <w:r>
        <w:rPr>
          <w:b/>
        </w:rPr>
        <w:t>13. Переход права собственности на имущество</w:t>
      </w:r>
    </w:p>
    <w:p>
      <w:pPr>
        <w:pStyle w:val="Normal"/>
        <w:jc w:val="both"/>
        <w:rPr/>
      </w:pPr>
      <w:r>
        <w:rPr>
          <w:b/>
        </w:rPr>
        <w:t xml:space="preserve">13.1. </w:t>
        <w:tab/>
      </w:r>
      <w:r>
        <w:rPr/>
        <w:t>Передача Объекта аукциона Покупателю и оформление права собственности на него осуществляются в порядке, установленном законодательством РФ, не позднее чем через тридцать дней после дня полной оплаты Объекта аукциона.</w:t>
      </w:r>
    </w:p>
    <w:p>
      <w:pPr>
        <w:pStyle w:val="Normal"/>
        <w:jc w:val="both"/>
        <w:rPr/>
      </w:pPr>
      <w:r>
        <w:rPr>
          <w:b/>
        </w:rPr>
        <w:t xml:space="preserve">13.2. </w:t>
        <w:tab/>
      </w:r>
      <w:r>
        <w:rPr/>
        <w:t>Право собственности на Объект (лот) аукциона возникает у Покупателя с даты государственной регистрации перехода права собственности от Продавца к Покупателю.</w:t>
      </w:r>
    </w:p>
    <w:p>
      <w:pPr>
        <w:pStyle w:val="Normal"/>
        <w:ind w:firstLine="567"/>
        <w:jc w:val="both"/>
        <w:rPr/>
      </w:pPr>
      <w:r>
        <w:rPr/>
      </w:r>
    </w:p>
    <w:p>
      <w:pPr>
        <w:pStyle w:val="Normal"/>
        <w:ind w:firstLine="567"/>
        <w:jc w:val="both"/>
        <w:rPr/>
      </w:pPr>
      <w:r>
        <w:rPr/>
      </w:r>
    </w:p>
    <w:p>
      <w:pPr>
        <w:pStyle w:val="Normal"/>
        <w:ind w:firstLine="567"/>
        <w:jc w:val="both"/>
        <w:rPr/>
      </w:pPr>
      <w:r>
        <w:rPr/>
      </w:r>
    </w:p>
    <w:p>
      <w:pPr>
        <w:pStyle w:val="Normal"/>
        <w:ind w:firstLine="567"/>
        <w:jc w:val="both"/>
        <w:rPr/>
      </w:pPr>
      <w:r>
        <w:rPr/>
      </w:r>
    </w:p>
    <w:p>
      <w:pPr>
        <w:pStyle w:val="Normal"/>
        <w:ind w:firstLine="567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sectPr>
      <w:type w:val="nextPage"/>
      <w:pgSz w:w="11906" w:h="16838"/>
      <w:pgMar w:left="1701" w:right="850" w:gutter="0" w:header="0" w:top="709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  <w:font w:name="Georgia">
    <w:charset w:val="01"/>
    <w:family w:val="roman"/>
    <w:pitch w:val="default"/>
  </w:font>
  <w:font w:name="PT Astra Serif">
    <w:charset w:val="01"/>
    <w:family w:val="roman"/>
    <w:pitch w:val="default"/>
  </w:font>
  <w:font w:name="Verdana">
    <w:charset w:val="01"/>
    <w:family w:val="roman"/>
    <w:pitch w:val="default"/>
  </w:font>
  <w:font w:name="Courier New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196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28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88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288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648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648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008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008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368" w:hanging="180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doNotExpandShiftReturn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semiHidden="1" w:unhideWhenUsed="1" w:qFormat="1"/>
    <w:lsdException w:name="heading 4" w:uiPriority="0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 w:qFormat="1"/>
    <w:lsdException w:name="Body Text Indent 2" w:uiPriority="0" w:qFormat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2">
    <w:name w:val="Heading 2"/>
    <w:basedOn w:val="Normal"/>
    <w:next w:val="Normal"/>
    <w:link w:val="2"/>
    <w:qFormat/>
    <w:pPr>
      <w:keepNext w:val="true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4"/>
    <w:qFormat/>
    <w:pPr>
      <w:keepNext w:val="true"/>
      <w:spacing w:before="240" w:after="60"/>
      <w:outlineLvl w:val="3"/>
    </w:pPr>
    <w:rPr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qFormat/>
    <w:rPr>
      <w:color w:val="0000FF"/>
      <w:u w:val="single"/>
    </w:rPr>
  </w:style>
  <w:style w:type="character" w:styleId="Strong">
    <w:name w:val="Strong"/>
    <w:basedOn w:val="DefaultParagraphFont"/>
    <w:qFormat/>
    <w:rPr>
      <w:b/>
      <w:bCs/>
    </w:rPr>
  </w:style>
  <w:style w:type="character" w:styleId="2" w:customStyle="1">
    <w:name w:val="Заголовок 2 Знак"/>
    <w:basedOn w:val="DefaultParagraphFont"/>
    <w:qFormat/>
    <w:rPr>
      <w:rFonts w:ascii="Arial" w:hAnsi="Arial" w:eastAsia="Times New Roman" w:cs="Arial"/>
      <w:b/>
      <w:bCs/>
      <w:i/>
      <w:iCs/>
      <w:sz w:val="28"/>
      <w:szCs w:val="28"/>
      <w:lang w:eastAsia="ru-RU"/>
    </w:rPr>
  </w:style>
  <w:style w:type="character" w:styleId="4" w:customStyle="1">
    <w:name w:val="Заголовок 4 Знак"/>
    <w:basedOn w:val="DefaultParagraphFont"/>
    <w:qFormat/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character" w:styleId="Style12" w:customStyle="1">
    <w:name w:val="Основной текст с отступом Знак"/>
    <w:basedOn w:val="DefaultParagraphFont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3" w:customStyle="1">
    <w:name w:val="Основной текст Знак"/>
    <w:basedOn w:val="DefaultParagraphFont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21" w:customStyle="1">
    <w:name w:val="Основной текст с отступом 2 Знак"/>
    <w:basedOn w:val="DefaultParagraphFont"/>
    <w:link w:val="BodyTextIndent2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22" w:customStyle="1">
    <w:name w:val="Основной текст 2 Знак"/>
    <w:basedOn w:val="DefaultParagraphFont"/>
    <w:link w:val="BodyText2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4" w:customStyle="1">
    <w:name w:val="Заголовок Знак"/>
    <w:basedOn w:val="DefaultParagraphFont"/>
    <w:qFormat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FontStyle21" w:customStyle="1">
    <w:name w:val="Font Style21"/>
    <w:uiPriority w:val="99"/>
    <w:qFormat/>
    <w:rPr>
      <w:rFonts w:ascii="Times New Roman" w:hAnsi="Times New Roman" w:cs="Times New Roman"/>
      <w:sz w:val="24"/>
      <w:szCs w:val="24"/>
    </w:rPr>
  </w:style>
  <w:style w:type="character" w:styleId="3" w:customStyle="1">
    <w:name w:val="Основной текст 3 Знак"/>
    <w:basedOn w:val="DefaultParagraphFont"/>
    <w:link w:val="BodyText3"/>
    <w:uiPriority w:val="99"/>
    <w:semiHidden/>
    <w:qFormat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FontStyle17" w:customStyle="1">
    <w:name w:val="Font Style17"/>
    <w:basedOn w:val="DefaultParagraphFont"/>
    <w:uiPriority w:val="99"/>
    <w:qFormat/>
    <w:rPr>
      <w:rFonts w:ascii="Times New Roman" w:hAnsi="Times New Roman" w:cs="Times New Roman"/>
      <w:sz w:val="22"/>
      <w:szCs w:val="22"/>
    </w:rPr>
  </w:style>
  <w:style w:type="character" w:styleId="FontStyle19" w:customStyle="1">
    <w:name w:val="Font Style19"/>
    <w:basedOn w:val="DefaultParagraphFont"/>
    <w:uiPriority w:val="99"/>
    <w:qFormat/>
    <w:rPr>
      <w:rFonts w:ascii="Times New Roman" w:hAnsi="Times New Roman" w:cs="Times New Roman"/>
      <w:b/>
      <w:bCs/>
      <w:sz w:val="22"/>
      <w:szCs w:val="22"/>
    </w:rPr>
  </w:style>
  <w:style w:type="character" w:styleId="FontStyle20" w:customStyle="1">
    <w:name w:val="Font Style20"/>
    <w:basedOn w:val="DefaultParagraphFont"/>
    <w:uiPriority w:val="99"/>
    <w:qFormat/>
    <w:rPr>
      <w:rFonts w:ascii="Georgia" w:hAnsi="Georgia" w:cs="Georgia"/>
      <w:b/>
      <w:bCs/>
      <w:sz w:val="20"/>
      <w:szCs w:val="20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link w:val="Style13"/>
    <w:qFormat/>
    <w:pPr>
      <w:spacing w:before="0" w:after="12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odyText2">
    <w:name w:val="Body Text 2"/>
    <w:basedOn w:val="Normal"/>
    <w:link w:val="22"/>
    <w:qFormat/>
    <w:pPr>
      <w:spacing w:lineRule="auto" w:line="480" w:before="0" w:after="120"/>
    </w:pPr>
    <w:rPr/>
  </w:style>
  <w:style w:type="paragraph" w:styleId="BodyTextIndent">
    <w:name w:val="Body Text Indent"/>
    <w:basedOn w:val="Normal"/>
    <w:link w:val="Style12"/>
    <w:qFormat/>
    <w:pPr>
      <w:spacing w:before="0" w:after="120"/>
      <w:ind w:left="283"/>
    </w:pPr>
    <w:rPr/>
  </w:style>
  <w:style w:type="paragraph" w:styleId="Title">
    <w:name w:val="Title"/>
    <w:basedOn w:val="Normal"/>
    <w:link w:val="Style14"/>
    <w:qFormat/>
    <w:pPr>
      <w:jc w:val="center"/>
    </w:pPr>
    <w:rPr>
      <w:b/>
      <w:bCs/>
    </w:rPr>
  </w:style>
  <w:style w:type="paragraph" w:styleId="NormalWeb">
    <w:name w:val="Normal (Web)"/>
    <w:basedOn w:val="Normal"/>
    <w:qFormat/>
    <w:pPr>
      <w:spacing w:lineRule="auto" w:line="360" w:beforeAutospacing="1" w:afterAutospacing="1"/>
      <w:jc w:val="both"/>
    </w:pPr>
    <w:rPr>
      <w:rFonts w:ascii="Verdana" w:hAnsi="Verdana"/>
      <w:color w:val="000000"/>
      <w:sz w:val="18"/>
      <w:szCs w:val="18"/>
    </w:rPr>
  </w:style>
  <w:style w:type="paragraph" w:styleId="BodyText3">
    <w:name w:val="Body Text 3"/>
    <w:basedOn w:val="Normal"/>
    <w:link w:val="3"/>
    <w:uiPriority w:val="99"/>
    <w:semiHidden/>
    <w:unhideWhenUsed/>
    <w:qFormat/>
    <w:pPr>
      <w:spacing w:before="0" w:after="120"/>
    </w:pPr>
    <w:rPr>
      <w:sz w:val="16"/>
      <w:szCs w:val="16"/>
    </w:rPr>
  </w:style>
  <w:style w:type="paragraph" w:styleId="BodyTextIndent2">
    <w:name w:val="Body Text Indent 2"/>
    <w:basedOn w:val="Normal"/>
    <w:link w:val="21"/>
    <w:qFormat/>
    <w:pPr>
      <w:spacing w:lineRule="auto" w:line="480" w:before="0" w:after="120"/>
      <w:ind w:left="283"/>
    </w:pPr>
    <w:rPr/>
  </w:style>
  <w:style w:type="paragraph" w:styleId="ConsPlusNormal" w:customStyle="1">
    <w:name w:val="ConsPlusNormal"/>
    <w:qFormat/>
    <w:pPr>
      <w:widowControl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ConsNormal" w:customStyle="1">
    <w:name w:val="ConsNormal"/>
    <w:qFormat/>
    <w:pPr>
      <w:widowControl w:val="false"/>
      <w:suppressAutoHyphens w:val="true"/>
      <w:bidi w:val="0"/>
      <w:spacing w:before="0" w:after="0"/>
      <w:ind w:firstLine="720" w:right="19772"/>
      <w:jc w:val="left"/>
    </w:pPr>
    <w:rPr>
      <w:rFonts w:ascii="Arial" w:hAnsi="Arial" w:eastAsia="Arial" w:cs="Times New Roman"/>
      <w:color w:val="auto"/>
      <w:kern w:val="0"/>
      <w:sz w:val="20"/>
      <w:szCs w:val="20"/>
      <w:lang w:val="ru-RU" w:eastAsia="ar-SA" w:bidi="ar-SA"/>
    </w:rPr>
  </w:style>
  <w:style w:type="paragraph" w:styleId="ConsPlusTitle" w:customStyle="1">
    <w:name w:val="ConsPlusTitle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b/>
      <w:bCs/>
      <w:color w:val="auto"/>
      <w:kern w:val="0"/>
      <w:sz w:val="20"/>
      <w:szCs w:val="20"/>
      <w:lang w:val="ru-RU" w:eastAsia="ru-RU" w:bidi="ar-SA"/>
    </w:rPr>
  </w:style>
  <w:style w:type="paragraph" w:styleId="Consnormal1" w:customStyle="1">
    <w:name w:val="consnormal1"/>
    <w:basedOn w:val="Normal"/>
    <w:qFormat/>
    <w:pPr>
      <w:spacing w:before="15" w:after="15"/>
      <w:ind w:firstLine="225" w:left="15" w:right="15"/>
    </w:pPr>
    <w:rPr/>
  </w:style>
  <w:style w:type="paragraph" w:styleId="Style41" w:customStyle="1">
    <w:name w:val="Style4"/>
    <w:basedOn w:val="Normal"/>
    <w:uiPriority w:val="99"/>
    <w:qFormat/>
    <w:pPr>
      <w:widowControl w:val="false"/>
      <w:spacing w:lineRule="exact" w:line="310"/>
      <w:jc w:val="center"/>
    </w:pPr>
    <w:rPr/>
  </w:style>
  <w:style w:type="paragraph" w:styleId="ConsNonformat" w:customStyle="1">
    <w:name w:val="ConsNonformat"/>
    <w:qFormat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31" w:customStyle="1">
    <w:name w:val="Стиль3 Знак Знак"/>
    <w:basedOn w:val="BodyTextIndent2"/>
    <w:qFormat/>
    <w:pPr>
      <w:widowControl w:val="false"/>
      <w:tabs>
        <w:tab w:val="clear" w:pos="708"/>
        <w:tab w:val="left" w:pos="360" w:leader="none"/>
      </w:tabs>
      <w:spacing w:lineRule="auto" w:line="240" w:before="0" w:after="0"/>
      <w:jc w:val="both"/>
    </w:pPr>
    <w:rPr>
      <w:szCs w:val="20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S1" w:customStyle="1">
    <w:name w:val="s_1"/>
    <w:basedOn w:val="Normal"/>
    <w:qFormat/>
    <w:pPr>
      <w:spacing w:beforeAutospacing="1" w:afterAutospacing="1"/>
    </w:pPr>
    <w:rPr/>
  </w:style>
  <w:style w:type="paragraph" w:styleId="Style17" w:customStyle="1">
    <w:name w:val="Style1"/>
    <w:basedOn w:val="Normal"/>
    <w:uiPriority w:val="99"/>
    <w:qFormat/>
    <w:pPr>
      <w:widowControl w:val="false"/>
    </w:pPr>
    <w:rPr>
      <w:rFonts w:ascii="Georgia" w:hAnsi="Georgia"/>
    </w:rPr>
  </w:style>
  <w:style w:type="paragraph" w:styleId="Style51" w:customStyle="1">
    <w:name w:val="Style5"/>
    <w:basedOn w:val="Normal"/>
    <w:uiPriority w:val="99"/>
    <w:qFormat/>
    <w:pPr>
      <w:widowControl w:val="false"/>
      <w:spacing w:lineRule="exact" w:line="275"/>
      <w:jc w:val="both"/>
    </w:pPr>
    <w:rPr>
      <w:rFonts w:ascii="Georgia" w:hAnsi="Georgia"/>
    </w:rPr>
  </w:style>
  <w:style w:type="paragraph" w:styleId="Style61" w:customStyle="1">
    <w:name w:val="Style6"/>
    <w:basedOn w:val="Normal"/>
    <w:uiPriority w:val="99"/>
    <w:qFormat/>
    <w:pPr>
      <w:widowControl w:val="false"/>
    </w:pPr>
    <w:rPr>
      <w:rFonts w:ascii="Georgia" w:hAnsi="Georgia"/>
    </w:rPr>
  </w:style>
  <w:style w:type="paragraph" w:styleId="Style71" w:customStyle="1">
    <w:name w:val="Style7"/>
    <w:basedOn w:val="Normal"/>
    <w:uiPriority w:val="99"/>
    <w:qFormat/>
    <w:pPr>
      <w:widowControl w:val="false"/>
      <w:spacing w:lineRule="exact" w:line="281"/>
      <w:ind w:firstLine="442"/>
      <w:jc w:val="both"/>
    </w:pPr>
    <w:rPr>
      <w:rFonts w:ascii="Georgia" w:hAnsi="Georgia"/>
    </w:rPr>
  </w:style>
  <w:style w:type="paragraph" w:styleId="Style81" w:customStyle="1">
    <w:name w:val="Style8"/>
    <w:basedOn w:val="Normal"/>
    <w:uiPriority w:val="99"/>
    <w:qFormat/>
    <w:pPr>
      <w:widowControl w:val="false"/>
    </w:pPr>
    <w:rPr>
      <w:rFonts w:ascii="Georgia" w:hAnsi="Georgia"/>
    </w:rPr>
  </w:style>
  <w:style w:type="paragraph" w:styleId="Style91" w:customStyle="1">
    <w:name w:val="Style9"/>
    <w:basedOn w:val="Normal"/>
    <w:uiPriority w:val="99"/>
    <w:qFormat/>
    <w:pPr>
      <w:widowControl w:val="false"/>
    </w:pPr>
    <w:rPr>
      <w:rFonts w:ascii="Georgia" w:hAnsi="Georgia"/>
    </w:rPr>
  </w:style>
  <w:style w:type="paragraph" w:styleId="Style101" w:customStyle="1">
    <w:name w:val="Style10"/>
    <w:basedOn w:val="Normal"/>
    <w:uiPriority w:val="99"/>
    <w:qFormat/>
    <w:pPr>
      <w:widowControl w:val="false"/>
      <w:spacing w:lineRule="exact" w:line="278"/>
      <w:ind w:firstLine="418"/>
      <w:jc w:val="both"/>
    </w:pPr>
    <w:rPr>
      <w:rFonts w:ascii="Georgia" w:hAnsi="Georgi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rts-tender.ru/" TargetMode="External"/><Relationship Id="rId3" Type="http://schemas.openxmlformats.org/officeDocument/2006/relationships/hyperlink" Target="http://www.torgi.gov.ru/" TargetMode="External"/><Relationship Id="rId4" Type="http://schemas.openxmlformats.org/officeDocument/2006/relationships/hyperlink" Target="http://www.rts-tender.ru/" TargetMode="External"/><Relationship Id="rId5" Type="http://schemas.openxmlformats.org/officeDocument/2006/relationships/hyperlink" Target="mailto:cheb-kumi@mail.ru" TargetMode="External"/><Relationship Id="rId6" Type="http://schemas.openxmlformats.org/officeDocument/2006/relationships/hyperlink" Target="http://www.rts-tender.ru/" TargetMode="External"/><Relationship Id="rId7" Type="http://schemas.openxmlformats.org/officeDocument/2006/relationships/hyperlink" Target="consultantplus://offline/ref=E52E52FC684BFD10A0AFF0A2CD3EA67404A00C9F48C5FDE3322A8C017613C6A8D5E81B76BB3961EBT5B0J" TargetMode="Externa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525CFF-0652-4281-B7ED-66F721737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1357</TotalTime>
  <Application>LibreOffice/7.6.7.2$Linux_X86_64 LibreOffice_project/60$Build-2</Application>
  <AppVersion>15.0000</AppVersion>
  <Pages>7</Pages>
  <Words>2755</Words>
  <Characters>19299</Characters>
  <CharactersWithSpaces>22021</CharactersWithSpaces>
  <Paragraphs>154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2024-10-22T09:52:00Z</dcterms:created>
  <dc:creator>001</dc:creator>
  <dc:description/>
  <dc:language>ru-RU</dc:language>
  <cp:lastModifiedBy/>
  <dcterms:modified xsi:type="dcterms:W3CDTF">2026-10-26T11:56:01Z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A16667B1F1734D2E8C1EA8C8A69C7AC6</vt:lpwstr>
  </property>
  <property fmtid="{D5CDD505-2E9C-101B-9397-08002B2CF9AE}" pid="3" name="KSOProductBuildVer">
    <vt:lpwstr>1049-11.2.0.11417</vt:lpwstr>
  </property>
</Properties>
</file>