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tbl>
      <w:tblPr>
        <w:tblStyle w:val="a3"/>
        <w:tblW w:w="93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2716"/>
        <w:gridCol w:w="6657"/>
      </w:tblGrid>
      <w:tr>
        <w:trPr>
          <w:trHeight w:val="243" w:hRule="atLeast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uppressAutoHyphens w:val="true"/>
              <w:spacing w:before="0" w:after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uppressAutoHyphens w:val="true"/>
              <w:spacing w:before="0" w:after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</w:r>
          </w:p>
        </w:tc>
      </w:tr>
    </w:tbl>
    <w:p>
      <w:pPr>
        <w:pStyle w:val="ConsPlus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ConsPlus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Программа</w:t>
      </w:r>
    </w:p>
    <w:p>
      <w:pPr>
        <w:pStyle w:val="ConsPlusNormal"/>
        <w:jc w:val="center"/>
        <w:rPr>
          <w:b/>
          <w:szCs w:val="28"/>
          <w:shd w:fill="FFFFFF" w:val="clear"/>
        </w:rPr>
      </w:pPr>
      <w:r>
        <w:rPr>
          <w:b/>
          <w:szCs w:val="28"/>
        </w:rPr>
        <w:t xml:space="preserve">профилактики рисков причинения вреда (ущерба) охраняемым законом ценностям по </w:t>
      </w:r>
      <w:r>
        <w:rPr>
          <w:b/>
          <w:szCs w:val="28"/>
          <w:shd w:fill="FFFFFF" w:val="clear"/>
        </w:rPr>
        <w:t xml:space="preserve">муниципальному контролю на автомобильном транспорте, городском наземном электрическом транспорте и в дорожном хозяйстве на территории Чебулинского муниципального округа </w:t>
      </w:r>
      <w:r>
        <w:rPr>
          <w:b/>
          <w:szCs w:val="28"/>
        </w:rPr>
        <w:t>на 2026 год</w:t>
      </w:r>
    </w:p>
    <w:p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40"/>
        <w:ind w:hanging="0" w:left="360"/>
        <w:jc w:val="center"/>
        <w:rPr>
          <w:b/>
          <w:szCs w:val="28"/>
        </w:rPr>
      </w:pPr>
      <w:r>
        <w:rPr>
          <w:b/>
          <w:szCs w:val="28"/>
        </w:rPr>
        <w:t xml:space="preserve">1.Анализ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>
      <w:pPr>
        <w:pStyle w:val="Normal"/>
        <w:widowControl w:val="false"/>
        <w:spacing w:lineRule="auto" w:line="240" w:before="220" w:after="0"/>
        <w:ind w:firstLine="539"/>
        <w:contextualSpacing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</w:p>
    <w:p>
      <w:pPr>
        <w:pStyle w:val="ListParagraph"/>
        <w:widowControl w:val="false"/>
        <w:numPr>
          <w:ilvl w:val="1"/>
          <w:numId w:val="4"/>
        </w:numPr>
        <w:spacing w:lineRule="auto" w:line="240"/>
        <w:ind w:firstLine="709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 Чебулинского муниципального округа на 202</w:t>
      </w:r>
      <w:r>
        <w:rPr>
          <w:rFonts w:eastAsia="Times New Roman"/>
          <w:szCs w:val="28"/>
        </w:rPr>
        <w:t>6</w:t>
      </w:r>
      <w:r>
        <w:rPr>
          <w:rFonts w:eastAsia="Times New Roman"/>
          <w:szCs w:val="28"/>
        </w:rPr>
        <w:t xml:space="preserve"> год,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>
      <w:pPr>
        <w:pStyle w:val="ListParagraph"/>
        <w:widowControl w:val="false"/>
        <w:numPr>
          <w:ilvl w:val="1"/>
          <w:numId w:val="5"/>
        </w:numPr>
        <w:spacing w:lineRule="auto" w:line="240"/>
        <w:ind w:firstLine="709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Программа</w:t>
      </w:r>
      <w:r>
        <w:rPr/>
        <w:t xml:space="preserve"> </w:t>
      </w:r>
      <w:r>
        <w:rPr>
          <w:rFonts w:eastAsia="Times New Roman"/>
          <w:szCs w:val="28"/>
        </w:rPr>
        <w:t>профилактики рисков причинения вреда (ущерба) охраняемым законом ценностям (далее-Программа), проводится в рамках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Чебулинского муниципально</w:t>
      </w:r>
      <w:bookmarkStart w:id="0" w:name="_GoBack"/>
      <w:bookmarkEnd w:id="0"/>
      <w:r>
        <w:rPr>
          <w:rFonts w:eastAsia="Times New Roman"/>
          <w:szCs w:val="28"/>
        </w:rPr>
        <w:t>го округа.</w:t>
      </w:r>
    </w:p>
    <w:p>
      <w:pPr>
        <w:pStyle w:val="ListParagraph"/>
        <w:widowControl w:val="false"/>
        <w:spacing w:lineRule="auto" w:line="240"/>
        <w:ind w:firstLine="567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Чебулинского муниципального округа, осуществляются должностными лицами по осуществлению муниципального контроля</w:t>
      </w:r>
      <w:r>
        <w:rPr/>
        <w:t xml:space="preserve"> </w:t>
      </w:r>
      <w:r>
        <w:rPr>
          <w:rFonts w:eastAsia="Times New Roman"/>
          <w:szCs w:val="28"/>
        </w:rPr>
        <w:t>на автомобильном транспорте, городском наземном электрическом транспорте и в дорожном хозяйстве.</w:t>
      </w:r>
    </w:p>
    <w:p>
      <w:pPr>
        <w:pStyle w:val="ListParagraph"/>
        <w:widowControl w:val="false"/>
        <w:spacing w:lineRule="auto" w:line="240"/>
        <w:ind w:firstLine="567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ListParagraph"/>
        <w:widowControl w:val="false"/>
        <w:numPr>
          <w:ilvl w:val="1"/>
          <w:numId w:val="6"/>
        </w:numPr>
        <w:spacing w:lineRule="auto" w:line="240"/>
        <w:ind w:firstLine="709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Чебулинского муниципального округа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на автомобильном транспорте, городском наземном электрическом транспорте и в дорожном хозяйстве, а также стимулирование добросовестного и правомерного поведения контролируемых лиц.</w:t>
      </w:r>
    </w:p>
    <w:p>
      <w:pPr>
        <w:pStyle w:val="ListParagraph"/>
        <w:widowControl w:val="false"/>
        <w:numPr>
          <w:ilvl w:val="1"/>
          <w:numId w:val="7"/>
        </w:numPr>
        <w:spacing w:lineRule="auto" w:line="240"/>
        <w:ind w:firstLine="567" w:left="0"/>
        <w:jc w:val="both"/>
        <w:rPr>
          <w:rFonts w:eastAsia="Calibri"/>
          <w:szCs w:val="28"/>
        </w:rPr>
      </w:pPr>
      <w:r>
        <w:rPr>
          <w:szCs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</w:t>
      </w:r>
      <w:r>
        <w:rPr>
          <w:bCs/>
          <w:szCs w:val="28"/>
        </w:rPr>
        <w:t>обязательным требованиям</w:t>
      </w:r>
      <w:r>
        <w:rPr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>
      <w:pPr>
        <w:pStyle w:val="ListParagraph"/>
        <w:spacing w:lineRule="auto" w:line="240"/>
        <w:ind w:firstLine="567" w:left="0"/>
        <w:jc w:val="both"/>
        <w:rPr>
          <w:szCs w:val="28"/>
        </w:rPr>
      </w:pPr>
      <w:r>
        <w:rPr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ListParagraph"/>
        <w:spacing w:lineRule="auto" w:line="240"/>
        <w:ind w:firstLine="567" w:left="0"/>
        <w:jc w:val="both"/>
        <w:rPr>
          <w:szCs w:val="28"/>
        </w:rPr>
      </w:pPr>
      <w:r>
        <w:rPr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>
      <w:pPr>
        <w:pStyle w:val="ListParagraph"/>
        <w:widowControl w:val="false"/>
        <w:numPr>
          <w:ilvl w:val="1"/>
          <w:numId w:val="8"/>
        </w:numPr>
        <w:spacing w:lineRule="auto" w:line="240"/>
        <w:ind w:firstLine="709" w:left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За текущий период 202</w:t>
      </w:r>
      <w:r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года в рамках муниципального контроля на автомобильном транспорте, городском наземном электрическом транспорте и в дорожном хозяйстве, плановые и внеплановые проверки, мероприятия по контролю без взаимодействия с контролируемыми лицами на территории Чебулинского муниципального округа не производились.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>
      <w:pPr>
        <w:pStyle w:val="Normal"/>
        <w:spacing w:lineRule="auto" w:line="2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</w:t>
      </w:r>
      <w:r>
        <w:rPr/>
        <w:t xml:space="preserve"> </w:t>
      </w:r>
      <w:r>
        <w:rPr>
          <w:rFonts w:eastAsia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хозяйстве, контролируемым лицам не выдавались.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1.6.К основным проблемам в сфере муниципального контроля </w:t>
      </w:r>
      <w:r>
        <w:rPr>
          <w:rFonts w:eastAsia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Чебулинского муниципального округа</w:t>
      </w:r>
      <w:r>
        <w:rPr>
          <w:rFonts w:eastAsia="Times New Roman"/>
          <w:szCs w:val="28"/>
        </w:rPr>
        <w:t xml:space="preserve">, на решение которых направлена Программа, относится: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>
      <w:pPr>
        <w:pStyle w:val="ConsPlusNormal"/>
        <w:jc w:val="both"/>
        <w:rPr>
          <w:szCs w:val="28"/>
        </w:rPr>
      </w:pPr>
      <w:r>
        <w:rPr>
          <w:rFonts w:eastAsia="Calibri" w:eastAsiaTheme="minorHAnsi"/>
          <w:color w:themeColor="text1" w:val="000000"/>
          <w:szCs w:val="28"/>
          <w:lang w:eastAsia="en-US"/>
        </w:rPr>
        <w:t xml:space="preserve">         </w:t>
      </w:r>
      <w:r>
        <w:rPr>
          <w:rFonts w:eastAsia="Calibri" w:eastAsiaTheme="minorHAnsi"/>
          <w:color w:themeColor="text1" w:val="000000"/>
          <w:szCs w:val="28"/>
          <w:lang w:eastAsia="en-US"/>
        </w:rPr>
        <w:t>1.7.</w:t>
      </w:r>
      <w:r>
        <w:rPr>
          <w:szCs w:val="28"/>
        </w:rPr>
        <w:t xml:space="preserve">Ожидаемые конечные результаты реализации программы профилактики: </w:t>
      </w:r>
    </w:p>
    <w:p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снижение рисков причинения вреда охраняемым законом ценностям;</w:t>
      </w:r>
    </w:p>
    <w:p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увеличение доли законопослушных контролируемых лиц;</w:t>
      </w:r>
    </w:p>
    <w:p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 xml:space="preserve">-внедрение новых видов профилактических мероприятий, предусмотренных </w:t>
      </w:r>
      <w:r>
        <w:rPr>
          <w:szCs w:val="28"/>
          <w:lang w:eastAsia="ar-SA"/>
        </w:rPr>
        <w:t>Федеральным законом № 248-ФЗ и Постановлением № 1010;</w:t>
      </w:r>
    </w:p>
    <w:p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уменьшение административной нагрузки на контролируемых лиц;</w:t>
      </w:r>
    </w:p>
    <w:p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повышение уровня правовой грамотности контролируемых лиц;</w:t>
      </w:r>
    </w:p>
    <w:p>
      <w:pPr>
        <w:pStyle w:val="Normal"/>
        <w:numPr>
          <w:ilvl w:val="0"/>
          <w:numId w:val="0"/>
        </w:numPr>
        <w:spacing w:lineRule="auto" w:line="240"/>
        <w:ind w:hanging="0" w:left="0"/>
        <w:jc w:val="both"/>
        <w:outlineLvl w:val="0"/>
        <w:rPr>
          <w:color w:val="FF0000"/>
          <w:szCs w:val="28"/>
        </w:rPr>
      </w:pPr>
      <w:r>
        <w:rPr>
          <w:szCs w:val="28"/>
          <w:lang w:eastAsia="ar-SA"/>
        </w:rPr>
        <w:t xml:space="preserve">   </w:t>
      </w:r>
      <w:r>
        <w:rPr>
          <w:szCs w:val="28"/>
          <w:lang w:eastAsia="ar-SA"/>
        </w:rPr>
        <w:t>- мотивация контролируемых лиц к добросовестному поведению.</w:t>
      </w:r>
    </w:p>
    <w:p>
      <w:pPr>
        <w:pStyle w:val="Normal"/>
        <w:spacing w:lineRule="auto" w:line="240"/>
        <w:ind w:firstLine="709" w:left="567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</w:r>
    </w:p>
    <w:p>
      <w:pPr>
        <w:pStyle w:val="Normal"/>
        <w:spacing w:lineRule="auto" w:line="240"/>
        <w:ind w:hanging="0" w:left="36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2.Цели и задачи реализации программы профилактики</w:t>
      </w:r>
    </w:p>
    <w:p>
      <w:pPr>
        <w:pStyle w:val="ListParagraph"/>
        <w:spacing w:lineRule="auto" w:line="240"/>
        <w:ind w:hanging="0" w:left="1080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Normal"/>
        <w:spacing w:lineRule="auto" w:line="240"/>
        <w:ind w:hanging="0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  <w:lang w:val="en-US"/>
        </w:rPr>
        <w:t> </w:t>
      </w:r>
      <w:r>
        <w:rPr>
          <w:rFonts w:eastAsia="Times New Roman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  <w:lang w:val="en-US"/>
        </w:rPr>
        <w:t> </w:t>
      </w:r>
      <w:r>
        <w:rPr>
          <w:rFonts w:eastAsia="Times New Roman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</w:t>
      </w:r>
      <w:r>
        <w:rPr>
          <w:rFonts w:eastAsia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eastAsia="Times New Roman"/>
          <w:szCs w:val="28"/>
        </w:rPr>
        <w:t xml:space="preserve"> на территории Чебулинского муниципального округа;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создание мотивации к добросовестному поведению контролируемых лиц, осуществляющих свою деятельность </w:t>
      </w:r>
      <w:r>
        <w:rPr>
          <w:rFonts w:eastAsia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eastAsia="Times New Roman"/>
          <w:szCs w:val="28"/>
        </w:rPr>
        <w:t xml:space="preserve"> на территории Чебулинского муниципального округа.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2.2. Основными задачами профилактических мероприятий являются: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>
      <w:pPr>
        <w:pStyle w:val="Normal"/>
        <w:spacing w:lineRule="auto" w:line="240"/>
        <w:ind w:hanging="0"/>
        <w:jc w:val="both"/>
        <w:rPr>
          <w:rFonts w:eastAsia="" w:eastAsiaTheme="minorEastAsia"/>
          <w:sz w:val="32"/>
          <w:lang w:eastAsia="ru-RU"/>
        </w:rPr>
      </w:pPr>
      <w:r>
        <w:rPr>
          <w:szCs w:val="28"/>
        </w:rPr>
        <w:t xml:space="preserve">        </w:t>
      </w:r>
      <w:r>
        <w:rPr>
          <w:szCs w:val="28"/>
        </w:rPr>
        <w:t xml:space="preserve">формирование одинакового понимания обязательных требований при осуществлении </w:t>
      </w:r>
      <w:r>
        <w:rPr>
          <w:rFonts w:eastAsia="" w:eastAsiaTheme="minorEastAsia"/>
          <w:szCs w:val="24"/>
          <w:shd w:fill="FFFFFF" w:val="clear"/>
          <w:lang w:eastAsia="ru-RU"/>
        </w:rPr>
        <w:t>муниципального контроля</w:t>
      </w:r>
      <w:r>
        <w:rPr>
          <w:rFonts w:eastAsia="" w:eastAsiaTheme="minorEastAsia"/>
          <w:szCs w:val="28"/>
          <w:shd w:fill="FFFFFF" w:val="clear"/>
          <w:lang w:eastAsia="ru-RU"/>
        </w:rPr>
        <w:t xml:space="preserve"> на автомобильном транспорте, городском наземном электрическом транспорте и в дорожном хозяйстве на территории Чебулинского муниципального округа</w:t>
      </w:r>
      <w:r>
        <w:rPr>
          <w:rFonts w:eastAsia="" w:eastAsiaTheme="minorEastAsia"/>
          <w:i/>
          <w:sz w:val="32"/>
          <w:lang w:eastAsia="ru-RU"/>
        </w:rPr>
        <w:t>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9" w:top="766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 w:left="36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3.Перечень профилактических мероприятий, сроки (периодичность) их проведения</w:t>
      </w:r>
    </w:p>
    <w:p>
      <w:pPr>
        <w:pStyle w:val="ListParagraph"/>
        <w:spacing w:lineRule="auto" w:line="240"/>
        <w:ind w:hanging="0" w:left="1080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ListParagraph"/>
        <w:spacing w:lineRule="auto" w:line="240" w:before="280" w:after="0"/>
        <w:ind w:hanging="0" w:left="851"/>
        <w:contextualSpacing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ListParagraph"/>
        <w:spacing w:lineRule="auto" w:line="240" w:before="280" w:after="0"/>
        <w:ind w:hanging="0" w:left="851"/>
        <w:contextualSpacing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tbl>
      <w:tblPr>
        <w:tblStyle w:val="a3"/>
        <w:tblW w:w="14526" w:type="dxa"/>
        <w:jc w:val="left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0"/>
        <w:gridCol w:w="2568"/>
        <w:gridCol w:w="7956"/>
        <w:gridCol w:w="3371"/>
      </w:tblGrid>
      <w:tr>
        <w:trPr>
          <w:trHeight w:val="11" w:hRule="atLeast"/>
        </w:trPr>
        <w:tc>
          <w:tcPr>
            <w:tcW w:w="6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Cs w:val="24"/>
              </w:rPr>
            </w:pPr>
            <w:r>
              <w:rPr>
                <w:rFonts w:eastAsia=""/>
                <w:iCs/>
                <w:kern w:val="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/>
                <w:iCs/>
                <w:kern w:val="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iCs/>
                <w:szCs w:val="24"/>
              </w:rPr>
            </w:pPr>
            <w:r>
              <w:rPr>
                <w:rFonts w:eastAsia=""/>
                <w:iCs/>
                <w:kern w:val="0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7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Cs w:val="24"/>
              </w:rPr>
            </w:pPr>
            <w:r>
              <w:rPr>
                <w:rFonts w:eastAsia=""/>
                <w:iCs/>
                <w:kern w:val="0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33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center"/>
              <w:rPr>
                <w:iCs/>
                <w:szCs w:val="24"/>
              </w:rPr>
            </w:pPr>
            <w:r>
              <w:rPr>
                <w:rFonts w:eastAsia=""/>
                <w:iCs/>
                <w:kern w:val="0"/>
                <w:szCs w:val="24"/>
                <w:lang w:val="ru-RU" w:eastAsia="ru-RU" w:bidi="ar-SA"/>
              </w:rPr>
              <w:t>Структурное подразделение, ответственное за реализацию</w:t>
            </w:r>
          </w:p>
        </w:tc>
      </w:tr>
      <w:tr>
        <w:trPr>
          <w:trHeight w:val="53" w:hRule="atLeast"/>
        </w:trPr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Информирование</w:t>
            </w:r>
          </w:p>
        </w:tc>
        <w:tc>
          <w:tcPr>
            <w:tcW w:w="79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Постоянно.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Посредством размещения сведений, предусмотренных </w:t>
            </w:r>
            <w:hyperlink r:id="rId3">
              <w:r>
                <w:rPr>
                  <w:rStyle w:val="ListLabel28"/>
                  <w:rFonts w:eastAsia=""/>
                  <w:kern w:val="0"/>
                  <w:sz w:val="24"/>
                  <w:szCs w:val="24"/>
                  <w:lang w:val="ru-RU" w:eastAsia="ru-RU" w:bidi="ar-SA"/>
                </w:rPr>
                <w:t>частью 3 статьи 46</w:t>
              </w:r>
            </w:hyperlink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 Закона № 248-ФЗ на официальном сайте в сети «Интернет»: </w:t>
            </w:r>
            <w:hyperlink r:id="rId4">
              <w:r>
                <w:rPr>
                  <w:rStyle w:val="Hyperlink"/>
                  <w:rFonts w:eastAsia=""/>
                  <w:kern w:val="0"/>
                  <w:sz w:val="24"/>
                  <w:szCs w:val="24"/>
                  <w:lang w:val="ru-RU" w:eastAsia="ru-RU" w:bidi="ar-SA"/>
                </w:rPr>
                <w:t>https://</w:t>
              </w:r>
              <w:r>
                <w:rPr>
                  <w:rStyle w:val="Hyperlink"/>
                  <w:rFonts w:eastAsia=""/>
                  <w:kern w:val="0"/>
                  <w:sz w:val="24"/>
                  <w:szCs w:val="24"/>
                  <w:lang w:val="en-US" w:eastAsia="ru-RU" w:bidi="ar-SA"/>
                </w:rPr>
                <w:t>chebula</w:t>
              </w:r>
              <w:r>
                <w:rPr>
                  <w:rStyle w:val="Hyperlink"/>
                  <w:rFonts w:eastAsia=""/>
                  <w:kern w:val="0"/>
                  <w:sz w:val="24"/>
                  <w:szCs w:val="24"/>
                  <w:lang w:val="ru-RU" w:eastAsia="ru-RU" w:bidi="ar-SA"/>
                </w:rPr>
                <w:t>.ru/</w:t>
              </w:r>
            </w:hyperlink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/>
                <w:i/>
                <w:kern w:val="0"/>
                <w:sz w:val="24"/>
                <w:szCs w:val="24"/>
                <w:lang w:val="ru-RU" w:eastAsia="ru-RU" w:bidi="ar-SA"/>
              </w:rPr>
              <w:t>(далее – официальный сайт),</w:t>
            </w: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3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  <w:tr>
        <w:trPr>
          <w:trHeight w:val="766" w:hRule="atLeast"/>
        </w:trPr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Консультирование</w:t>
            </w:r>
          </w:p>
        </w:tc>
        <w:tc>
          <w:tcPr>
            <w:tcW w:w="79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Постоянно, по запросу.</w:t>
            </w:r>
          </w:p>
          <w:p>
            <w:pPr>
              <w:pStyle w:val="S15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"/>
                <w:kern w:val="0"/>
                <w:lang w:val="ru-RU" w:bidi="ar-SA"/>
              </w:rPr>
            </w:pPr>
            <w:r>
              <w:rPr>
                <w:rFonts w:eastAsia=""/>
                <w:kern w:val="0"/>
                <w:lang w:val="ru-RU" w:bidi="ar-SA"/>
              </w:rPr>
              <w:t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>
            <w:pPr>
              <w:pStyle w:val="S15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Консультирование осуществляется в устной форме по следующим вопросам:</w:t>
            </w:r>
          </w:p>
          <w:p>
            <w:pPr>
              <w:pStyle w:val="S32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1) порядок проведения контрольных мероприятий;</w:t>
            </w:r>
          </w:p>
          <w:p>
            <w:pPr>
              <w:pStyle w:val="S32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2) периодичность проведения контрольных мероприятий;</w:t>
            </w:r>
          </w:p>
          <w:p>
            <w:pPr>
              <w:pStyle w:val="S32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3) порядок принятия решений по итогам контрольных мероприятий;</w:t>
            </w:r>
          </w:p>
          <w:p>
            <w:pPr>
              <w:pStyle w:val="S32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4) порядок обжалования решений Контрольного органа</w:t>
            </w:r>
          </w:p>
          <w:p>
            <w:pPr>
              <w:pStyle w:val="S32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.</w:t>
            </w:r>
            <w:r>
              <w:rPr>
                <w:rFonts w:eastAsia=""/>
                <w:kern w:val="0"/>
                <w:lang w:val="ru-RU" w:bidi="ar-SA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Время консультирования не должно превышать 10 минут.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Консультирование в письменной форме осуществляется инспектором в следующих случаях: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2) 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>
              <w:rPr>
                <w:rFonts w:eastAsia=""/>
                <w:bCs/>
                <w:kern w:val="0"/>
                <w:sz w:val="24"/>
                <w:szCs w:val="24"/>
                <w:lang w:val="ru-RU" w:eastAsia="ru-RU" w:bidi="ar-SA"/>
              </w:rPr>
              <w:t>в сфере благоустройства,</w:t>
            </w: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Контрольный орган</w:t>
            </w:r>
            <w:r>
              <w:rPr>
                <w:rFonts w:eastAsia="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Чебулинского муниципального округа Кемеровской области.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  <w:tr>
        <w:trPr>
          <w:trHeight w:val="1" w:hRule="atLeast"/>
        </w:trPr>
        <w:tc>
          <w:tcPr>
            <w:tcW w:w="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25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iCs/>
                <w:kern w:val="0"/>
                <w:sz w:val="24"/>
                <w:szCs w:val="24"/>
                <w:lang w:val="ru-RU" w:eastAsia="ru-RU" w:bidi="ar-SA"/>
              </w:rPr>
              <w:t>Объявление предостережения</w:t>
            </w:r>
          </w:p>
        </w:tc>
        <w:tc>
          <w:tcPr>
            <w:tcW w:w="79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Объявляется контрольным органом и направляется контролируемому лицу </w:t>
            </w:r>
            <w:r>
              <w:rPr>
                <w:rFonts w:eastAsia="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в случае наличия </w:t>
            </w:r>
            <w:r>
              <w:rPr>
                <w:rFonts w:eastAsia=""/>
                <w:color w:val="000000"/>
                <w:kern w:val="0"/>
                <w:sz w:val="24"/>
                <w:szCs w:val="24"/>
                <w:lang w:val="ru-RU" w:eastAsia="ru-RU" w:bidi="ar-SA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ConsPlusNormal"/>
              <w:suppressAutoHyphens w:val="true"/>
              <w:spacing w:before="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>
            <w:pPr>
              <w:pStyle w:val="ConsPlusNormal"/>
              <w:suppressAutoHyphens w:val="true"/>
              <w:spacing w:before="0" w:after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Чебулинского муниципального округа Кемеровской области.</w:t>
            </w:r>
          </w:p>
          <w:p>
            <w:pPr>
              <w:pStyle w:val="S26"/>
              <w:widowControl/>
              <w:suppressAutoHyphens w:val="true"/>
              <w:spacing w:beforeAutospacing="0" w:before="0" w:afterAutospacing="0" w:after="0"/>
              <w:ind w:firstLine="540"/>
              <w:jc w:val="both"/>
              <w:rPr>
                <w:rFonts w:eastAsia="Times New Roman"/>
              </w:rPr>
            </w:pPr>
            <w:r>
              <w:rPr>
                <w:rFonts w:eastAsia="Times New Roman"/>
                <w:kern w:val="0"/>
                <w:lang w:val="ru-RU" w:bidi="ar-SA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37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Назначается муниципальным правовым актом администрации Чебулинского муниципального округа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851" w:gutter="0" w:header="709" w:top="766" w:footer="0" w:bottom="284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spacing w:lineRule="auto" w:line="240" w:before="280" w:after="0"/>
        <w:ind w:hanging="0" w:left="851"/>
        <w:contextualSpacing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4. Показатели результативности и эффективности программы профилактики</w:t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both"/>
        <w:rPr>
          <w:color w:val="000000"/>
          <w:szCs w:val="28"/>
        </w:rPr>
      </w:pPr>
      <w:r>
        <w:rPr>
          <w:color w:val="000000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jc w:val="both"/>
        <w:rPr>
          <w:color w:val="000000"/>
          <w:szCs w:val="28"/>
        </w:rPr>
      </w:pPr>
      <w:r>
        <w:rPr>
          <w:color w:val="000000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>
      <w:pPr>
        <w:pStyle w:val="Normal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bCs/>
          <w:i/>
          <w:i/>
          <w:szCs w:val="28"/>
        </w:rPr>
      </w:pPr>
      <w:r>
        <w:rPr>
          <w:bCs/>
          <w:i/>
          <w:szCs w:val="28"/>
        </w:rPr>
      </w:r>
    </w:p>
    <w:tbl>
      <w:tblPr>
        <w:tblW w:w="1005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80"/>
        <w:gridCol w:w="9377"/>
      </w:tblGrid>
      <w:tr>
        <w:trPr>
          <w:trHeight w:val="74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</w:tr>
      <w:tr>
        <w:trPr>
          <w:trHeight w:val="111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>
        <w:trPr>
          <w:trHeight w:val="627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>
        <w:trPr>
          <w:trHeight w:val="62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1030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88"/>
        <w:gridCol w:w="6822"/>
        <w:gridCol w:w="2794"/>
      </w:tblGrid>
      <w:tr>
        <w:trPr>
          <w:trHeight w:val="240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</w:t>
            </w:r>
          </w:p>
        </w:tc>
      </w:tr>
      <w:tr>
        <w:trPr>
          <w:trHeight w:val="1513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>
        <w:trPr>
          <w:trHeight w:val="372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>
        <w:trPr>
          <w:trHeight w:val="143" w:hRule="atLeast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>
      <w:pPr>
        <w:pStyle w:val="Normal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3"/>
        <w:tblW w:w="102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11"/>
        <w:gridCol w:w="2166"/>
        <w:gridCol w:w="2011"/>
        <w:gridCol w:w="1793"/>
        <w:gridCol w:w="2235"/>
      </w:tblGrid>
      <w:tr>
        <w:trPr>
          <w:trHeight w:val="698" w:hRule="atLeast"/>
        </w:trPr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Показатель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60% и менее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61-85%</w:t>
            </w:r>
          </w:p>
        </w:tc>
        <w:tc>
          <w:tcPr>
            <w:tcW w:w="17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86-99%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100% и более</w:t>
            </w:r>
          </w:p>
        </w:tc>
      </w:tr>
      <w:tr>
        <w:trPr>
          <w:trHeight w:val="698" w:hRule="atLeast"/>
        </w:trPr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Эффект</w:t>
            </w:r>
          </w:p>
        </w:tc>
        <w:tc>
          <w:tcPr>
            <w:tcW w:w="216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Недопустимый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Низкий</w:t>
            </w:r>
          </w:p>
        </w:tc>
        <w:tc>
          <w:tcPr>
            <w:tcW w:w="17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Плановый</w:t>
            </w:r>
          </w:p>
        </w:tc>
        <w:tc>
          <w:tcPr>
            <w:tcW w:w="223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"/>
                <w:kern w:val="0"/>
                <w:sz w:val="24"/>
                <w:szCs w:val="24"/>
                <w:lang w:val="ru-RU" w:eastAsia="ru-RU" w:bidi="ar-SA"/>
              </w:rPr>
              <w:t>Эффективный</w:t>
            </w:r>
          </w:p>
        </w:tc>
      </w:tr>
    </w:tbl>
    <w:p>
      <w:pPr>
        <w:pStyle w:val="Normal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</w:p>
    <w:p>
      <w:pPr>
        <w:pStyle w:val="Normal"/>
        <w:spacing w:lineRule="auto" w:line="240" w:before="280" w:after="0"/>
        <w:ind w:hanging="0"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Normal"/>
        <w:spacing w:lineRule="auto" w:line="240" w:before="280" w:after="0"/>
        <w:ind w:hanging="0"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Normal"/>
        <w:spacing w:lineRule="auto" w:line="240" w:before="280" w:after="0"/>
        <w:ind w:hanging="0"/>
        <w:jc w:val="both"/>
        <w:rPr>
          <w:rFonts w:eastAsia="Times New Roman"/>
          <w:b/>
          <w:color w:val="FF0000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</w:r>
    </w:p>
    <w:p>
      <w:pPr>
        <w:pStyle w:val="Normal"/>
        <w:spacing w:lineRule="auto" w:line="240"/>
        <w:ind w:hanging="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numPr>
          <w:ilvl w:val="0"/>
          <w:numId w:val="0"/>
        </w:numPr>
        <w:spacing w:lineRule="auto" w:line="240"/>
        <w:ind w:firstLine="851" w:left="0"/>
        <w:jc w:val="right"/>
        <w:outlineLvl w:val="0"/>
        <w:rPr>
          <w:color w:val="FF0000"/>
          <w:szCs w:val="28"/>
        </w:rPr>
      </w:pPr>
      <w:r>
        <w:rPr>
          <w:color w:val="FF0000"/>
          <w:szCs w:val="28"/>
        </w:rPr>
      </w:r>
    </w:p>
    <w:sectPr>
      <w:headerReference w:type="default" r:id="rId7"/>
      <w:headerReference w:type="first" r:id="rId8"/>
      <w:type w:val="nextPage"/>
      <w:pgSz w:w="11906" w:h="16838"/>
      <w:pgMar w:left="1134" w:right="284" w:gutter="0" w:header="709" w:top="766" w:footer="0" w:bottom="28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5963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5963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59638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043"/>
    <w:pPr>
      <w:widowControl/>
      <w:suppressAutoHyphens w:val="true"/>
      <w:bidi w:val="0"/>
      <w:spacing w:lineRule="auto" w:line="276" w:before="0" w:after="0"/>
      <w:ind w:firstLine="709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qFormat/>
    <w:rsid w:val="00fd689f"/>
    <w:pPr>
      <w:keepNext w:val="true"/>
      <w:spacing w:lineRule="auto" w:line="240"/>
      <w:ind w:hanging="0"/>
      <w:jc w:val="center"/>
      <w:outlineLvl w:val="1"/>
    </w:pPr>
    <w:rPr>
      <w:rFonts w:eastAsia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239c"/>
    <w:pPr>
      <w:keepNext w:val="true"/>
      <w:keepLines/>
      <w:spacing w:lineRule="auto" w:line="240" w:before="200" w:after="0"/>
      <w:ind w:hanging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a159b"/>
    <w:rPr>
      <w:rFonts w:ascii="Times New Roman" w:hAnsi="Times New Roman" w:cs="Times New Roman"/>
      <w:sz w:val="28"/>
    </w:rPr>
  </w:style>
  <w:style w:type="character" w:styleId="Style13" w:customStyle="1">
    <w:name w:val="Нижний колонтитул Знак"/>
    <w:basedOn w:val="DefaultParagraphFont"/>
    <w:uiPriority w:val="99"/>
    <w:qFormat/>
    <w:rsid w:val="00fa159b"/>
    <w:rPr>
      <w:rFonts w:ascii="Times New Roman" w:hAnsi="Times New Roman" w:cs="Times New Roman"/>
      <w:sz w:val="28"/>
    </w:rPr>
  </w:style>
  <w:style w:type="character" w:styleId="Style14" w:customStyle="1">
    <w:name w:val="Абзац списка Знак"/>
    <w:link w:val="ListParagraph"/>
    <w:uiPriority w:val="34"/>
    <w:qFormat/>
    <w:locked/>
    <w:rsid w:val="009c1826"/>
    <w:rPr>
      <w:rFonts w:ascii="Times New Roman" w:hAnsi="Times New Roman" w:cs="Times New Roman"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33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85029"/>
    <w:rPr>
      <w:color w:themeColor="hyperlink" w:val="0563C1"/>
      <w:u w:val="single"/>
    </w:rPr>
  </w:style>
  <w:style w:type="character" w:styleId="5" w:customStyle="1">
    <w:name w:val="Заголовок 5 Знак"/>
    <w:basedOn w:val="DefaultParagraphFont"/>
    <w:uiPriority w:val="9"/>
    <w:semiHidden/>
    <w:qFormat/>
    <w:rsid w:val="00aa239c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fd689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uiPriority w:val="99"/>
    <w:qFormat/>
    <w:rsid w:val="00ef604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4"/>
    <w:qFormat/>
    <w:rsid w:val="00be3bcc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e114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fa159b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fa159b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ConsPlusTitle" w:customStyle="1">
    <w:name w:val="ConsPlusTitle"/>
    <w:qFormat/>
    <w:rsid w:val="00b275f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332a4"/>
    <w:pPr>
      <w:spacing w:lineRule="auto" w:line="240"/>
    </w:pPr>
    <w:rPr>
      <w:rFonts w:ascii="Tahoma" w:hAnsi="Tahoma" w:cs="Tahoma"/>
      <w:sz w:val="16"/>
      <w:szCs w:val="16"/>
    </w:rPr>
  </w:style>
  <w:style w:type="paragraph" w:styleId="1" w:customStyle="1">
    <w:name w:val="Обычный1"/>
    <w:autoRedefine/>
    <w:qFormat/>
    <w:rsid w:val="00aa239c"/>
    <w:pPr>
      <w:widowControl/>
      <w:tabs>
        <w:tab w:val="clear" w:pos="708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Calibri" w:cs="Times New Roman" w:eastAsiaTheme="minorHAnsi"/>
      <w:b/>
      <w:color w:val="auto"/>
      <w:kern w:val="0"/>
      <w:sz w:val="28"/>
      <w:szCs w:val="28"/>
      <w:lang w:val="ru-RU" w:eastAsia="ru-RU" w:bidi="ar-SA"/>
    </w:rPr>
  </w:style>
  <w:style w:type="paragraph" w:styleId="S15" w:customStyle="1">
    <w:name w:val="s15"/>
    <w:basedOn w:val="Normal"/>
    <w:qFormat/>
    <w:rsid w:val="00fd689f"/>
    <w:pPr>
      <w:spacing w:lineRule="auto" w:line="240" w:beforeAutospacing="1" w:afterAutospacing="1"/>
      <w:ind w:hanging="0"/>
    </w:pPr>
    <w:rPr>
      <w:sz w:val="24"/>
      <w:szCs w:val="24"/>
      <w:lang w:eastAsia="ru-RU"/>
    </w:rPr>
  </w:style>
  <w:style w:type="paragraph" w:styleId="S32" w:customStyle="1">
    <w:name w:val="s32"/>
    <w:basedOn w:val="Normal"/>
    <w:qFormat/>
    <w:rsid w:val="00fd689f"/>
    <w:pPr>
      <w:spacing w:lineRule="auto" w:line="240" w:beforeAutospacing="1" w:afterAutospacing="1"/>
      <w:ind w:hanging="0"/>
    </w:pPr>
    <w:rPr>
      <w:sz w:val="24"/>
      <w:szCs w:val="24"/>
      <w:lang w:eastAsia="ru-RU"/>
    </w:rPr>
  </w:style>
  <w:style w:type="paragraph" w:styleId="S26" w:customStyle="1">
    <w:name w:val="s26"/>
    <w:basedOn w:val="Normal"/>
    <w:qFormat/>
    <w:rsid w:val="00fd689f"/>
    <w:pPr>
      <w:spacing w:lineRule="auto" w:line="240" w:beforeAutospacing="1" w:afterAutospacing="1"/>
      <w:ind w:hanging="0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f6043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566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hyperlink" Target="https://sbor.ru/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190D-D4B4-461E-AC63-C301A7D6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10</Pages>
  <Words>1886</Words>
  <Characters>14927</Characters>
  <CharactersWithSpaces>16866</CharactersWithSpaces>
  <Paragraphs>130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2024-09-23T09:22:00Z</dcterms:created>
  <dc:creator>Антипова Анна Александровна</dc:creator>
  <dc:description/>
  <dc:language>ru-RU</dc:language>
  <cp:lastModifiedBy/>
  <dcterms:modified xsi:type="dcterms:W3CDTF">2025-12-16T16:20:30Z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