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</w:t>
      </w:r>
    </w:p>
    <w:p>
      <w:pPr>
        <w:pStyle w:val="Normal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профилактики </w:t>
      </w:r>
      <w:r>
        <w:rPr>
          <w:b/>
          <w:sz w:val="24"/>
          <w:szCs w:val="24"/>
        </w:rPr>
        <w:t>рисков причинения вреда (ущерба) охраняемым законом ценностям по муниципальному контролю в сфере благоустройства на территории  Чебулинского муниципального округа на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 </w:t>
      </w:r>
    </w:p>
    <w:p>
      <w:pPr>
        <w:pStyle w:val="Normal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Общие положения</w:t>
      </w:r>
    </w:p>
    <w:p>
      <w:pPr>
        <w:pStyle w:val="Normal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Чебулинского муниципального округа Кемеровской области на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далее – Программа профилактики</w:t>
      </w:r>
      <w:r>
        <w:rPr>
          <w:sz w:val="24"/>
          <w:szCs w:val="24"/>
        </w:rPr>
        <w:t xml:space="preserve">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>
        <w:rPr>
          <w:rFonts w:eastAsia="Calibri" w:eastAsiaTheme="minorHAnsi"/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народных депутатов Чебулинского муниципального округа от 25.11.2021 №203 </w:t>
      </w:r>
      <w:r>
        <w:rPr>
          <w:sz w:val="24"/>
          <w:szCs w:val="28"/>
        </w:rPr>
        <w:t xml:space="preserve">«Об утверждении Положения о муниципальном </w:t>
      </w:r>
      <w:r>
        <w:rPr>
          <w:sz w:val="24"/>
          <w:szCs w:val="24"/>
        </w:rPr>
        <w:t>контроле в сфере благоустройства на территории</w:t>
      </w:r>
      <w:r>
        <w:rPr>
          <w:sz w:val="24"/>
          <w:szCs w:val="28"/>
        </w:rPr>
        <w:t xml:space="preserve"> Чебулинского муниципального округа»,</w:t>
      </w:r>
      <w:r>
        <w:rPr>
          <w:sz w:val="24"/>
          <w:szCs w:val="24"/>
        </w:rPr>
        <w:t xml:space="preserve"> в целях организации проведения администрацией Чебулинского муниципального  округа Кемеровской  области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</w:t>
      </w:r>
      <w:r>
        <w:rPr>
          <w:i/>
          <w:sz w:val="24"/>
          <w:szCs w:val="24"/>
        </w:rPr>
        <w:t>(далее - муниципальный контроль в сфере благоустройства).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Программа реализуется в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показатели оценки реализации Программы профилактики.</w:t>
      </w:r>
    </w:p>
    <w:p>
      <w:pPr>
        <w:pStyle w:val="Normal"/>
        <w:tabs>
          <w:tab w:val="clear" w:pos="708"/>
          <w:tab w:val="left" w:pos="0" w:leader="none"/>
          <w:tab w:val="left" w:pos="3679" w:leader="none"/>
          <w:tab w:val="right" w:pos="7995" w:leader="none"/>
          <w:tab w:val="right" w:pos="10209" w:leader="none"/>
        </w:tabs>
        <w:ind w:firstLine="709"/>
        <w:jc w:val="both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0" w:leader="none"/>
          <w:tab w:val="left" w:pos="3679" w:leader="none"/>
          <w:tab w:val="right" w:pos="7995" w:leader="none"/>
          <w:tab w:val="right" w:pos="10209" w:leader="none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1. Анализ и оценка состояния подконтрольной сферы</w:t>
      </w:r>
    </w:p>
    <w:p>
      <w:pPr>
        <w:pStyle w:val="Normal"/>
        <w:tabs>
          <w:tab w:val="clear" w:pos="708"/>
          <w:tab w:val="left" w:pos="0" w:leader="none"/>
          <w:tab w:val="left" w:pos="3679" w:leader="none"/>
          <w:tab w:val="right" w:pos="7995" w:leader="none"/>
          <w:tab w:val="right" w:pos="10209" w:leader="none"/>
        </w:tabs>
        <w:ind w:firstLine="709"/>
        <w:jc w:val="center"/>
        <w:rPr>
          <w:b/>
          <w:spacing w:val="10"/>
          <w:sz w:val="24"/>
          <w:szCs w:val="24"/>
        </w:rPr>
      </w:pPr>
      <w:r>
        <w:rPr>
          <w:b/>
          <w:spacing w:val="10"/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1.1. В соответствии с Положением </w:t>
      </w:r>
      <w:r>
        <w:rPr>
          <w:sz w:val="24"/>
          <w:szCs w:val="24"/>
        </w:rPr>
        <w:t xml:space="preserve">о порядке осуществления муниципального контроля в сфере благоустройства на территории Чебулинского муниципального округа, утвержденным Решением Совета народных депутатов Чебулинского  муниципального округа от 25.11.2021 №203 </w:t>
      </w:r>
      <w:r>
        <w:rPr>
          <w:i/>
          <w:sz w:val="24"/>
          <w:szCs w:val="24"/>
        </w:rPr>
        <w:t>(далее - Положение)</w:t>
      </w:r>
      <w:r>
        <w:rPr>
          <w:spacing w:val="-2"/>
          <w:sz w:val="24"/>
          <w:szCs w:val="24"/>
        </w:rPr>
        <w:t xml:space="preserve">, </w:t>
      </w:r>
      <w:r>
        <w:rPr>
          <w:sz w:val="24"/>
          <w:szCs w:val="24"/>
        </w:rPr>
        <w:t>органом, осуществляющим муниципальный контроль в сфере благоустройства на территории Чебулинского муниципального округа является администрация Чебулинского муниципального округа.</w:t>
      </w:r>
    </w:p>
    <w:p>
      <w:pPr>
        <w:pStyle w:val="Normal"/>
        <w:widowControl w:val="false"/>
        <w:ind w:firstLine="54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администрации Чебулинского муниципального округа,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>
        <w:rPr>
          <w:i/>
          <w:sz w:val="24"/>
          <w:szCs w:val="24"/>
        </w:rPr>
        <w:t>(далее – инспектор, инспекторы)</w:t>
      </w:r>
      <w:r>
        <w:rPr>
          <w:sz w:val="24"/>
          <w:szCs w:val="24"/>
        </w:rPr>
        <w:t>, назначаются муниципальным правовым актом администрации Чебулинского муниципального округа.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Цели и задачи </w:t>
      </w:r>
      <w:r>
        <w:rPr>
          <w:b/>
          <w:spacing w:val="-2"/>
          <w:sz w:val="24"/>
          <w:szCs w:val="24"/>
        </w:rPr>
        <w:t>Программы профилактики</w:t>
      </w:r>
    </w:p>
    <w:p>
      <w:pPr>
        <w:pStyle w:val="Normal"/>
        <w:widowControl w:val="false"/>
        <w:ind w:firstLine="54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2.2. Основными целями Программы профилактики являются: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снижение административной нагрузки на контролируемые лица;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мотивации к добросовестному поведению контролируемых лиц;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снижение уровня ущерба охраняемым законом ценностям.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Задачами Программы профилактики являются: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>
      <w:pPr>
        <w:pStyle w:val="Normal"/>
        <w:spacing w:before="220" w:after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>
      <w:pPr>
        <w:pStyle w:val="Normal"/>
        <w:spacing w:before="220" w:after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992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220" w:after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d"/>
        <w:tblW w:w="14600" w:type="dxa"/>
        <w:jc w:val="left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584"/>
        <w:gridCol w:w="8048"/>
        <w:gridCol w:w="3401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Cs w:val="24"/>
              </w:rPr>
            </w:pPr>
            <w:r>
              <w:rPr>
                <w:iCs/>
                <w:kern w:val="0"/>
                <w:szCs w:val="24"/>
                <w:lang w:val="ru-RU" w:bidi="ar-SA"/>
              </w:rPr>
              <w:t xml:space="preserve">№ </w:t>
            </w:r>
            <w:r>
              <w:rPr>
                <w:iCs/>
                <w:kern w:val="0"/>
                <w:szCs w:val="24"/>
                <w:lang w:val="ru-RU" w:bidi="ar-SA"/>
              </w:rPr>
              <w:t>п/п</w:t>
            </w:r>
          </w:p>
        </w:tc>
        <w:tc>
          <w:tcPr>
            <w:tcW w:w="25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Cs w:val="24"/>
              </w:rPr>
            </w:pPr>
            <w:r>
              <w:rPr>
                <w:iCs/>
                <w:kern w:val="0"/>
                <w:szCs w:val="24"/>
                <w:lang w:val="ru-RU" w:bidi="ar-SA"/>
              </w:rPr>
              <w:t>Наименование мероприятия</w:t>
            </w:r>
          </w:p>
        </w:tc>
        <w:tc>
          <w:tcPr>
            <w:tcW w:w="804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Cs w:val="24"/>
              </w:rPr>
            </w:pPr>
            <w:r>
              <w:rPr>
                <w:iCs/>
                <w:kern w:val="0"/>
                <w:szCs w:val="24"/>
                <w:lang w:val="ru-RU" w:bidi="ar-SA"/>
              </w:rPr>
              <w:t>Срок исполнения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Cs w:val="24"/>
              </w:rPr>
            </w:pPr>
            <w:r>
              <w:rPr>
                <w:iCs/>
                <w:kern w:val="0"/>
                <w:szCs w:val="24"/>
                <w:lang w:val="ru-RU" w:bidi="ar-SA"/>
              </w:rPr>
              <w:t>Структурное подразделение, ответственное за реализацию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25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Информирование</w:t>
            </w:r>
          </w:p>
        </w:tc>
        <w:tc>
          <w:tcPr>
            <w:tcW w:w="804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Постоянно.</w:t>
            </w:r>
          </w:p>
          <w:p>
            <w:pPr>
              <w:pStyle w:val="Normal"/>
              <w:widowControl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Посредством размещения сведений, предусмотренных </w:t>
            </w:r>
            <w:hyperlink r:id="rId8">
              <w:r>
                <w:rPr>
                  <w:rStyle w:val="ListLabel46"/>
                  <w:kern w:val="0"/>
                  <w:sz w:val="24"/>
                  <w:szCs w:val="24"/>
                  <w:lang w:val="ru-RU" w:bidi="ar-SA"/>
                </w:rPr>
                <w:t>частью 3 статьи 46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 xml:space="preserve"> Закона № 248-ФЗ на официальном сайте в сети «Интернет»: </w:t>
            </w:r>
            <w:hyperlink r:id="rId9">
              <w:r>
                <w:rPr>
                  <w:rStyle w:val="Hyperlink"/>
                  <w:kern w:val="0"/>
                  <w:sz w:val="24"/>
                  <w:szCs w:val="24"/>
                  <w:lang w:val="ru-RU" w:bidi="ar-SA"/>
                </w:rPr>
                <w:t>https://</w:t>
              </w:r>
              <w:r>
                <w:rPr>
                  <w:rStyle w:val="Hyperlink"/>
                  <w:kern w:val="0"/>
                  <w:sz w:val="24"/>
                  <w:szCs w:val="24"/>
                  <w:lang w:val="en-US" w:bidi="ar-SA"/>
                </w:rPr>
                <w:t>chebula</w:t>
              </w:r>
              <w:r>
                <w:rPr>
                  <w:rStyle w:val="Hyperlink"/>
                  <w:kern w:val="0"/>
                  <w:sz w:val="24"/>
                  <w:szCs w:val="24"/>
                  <w:lang w:val="ru-RU" w:bidi="ar-SA"/>
                </w:rPr>
                <w:t>.ru/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(далее – официальный сайт),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Назначается муниципальным правовым актом администрации Чебулинского муниципального округа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25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Консультирование</w:t>
            </w:r>
          </w:p>
        </w:tc>
        <w:tc>
          <w:tcPr>
            <w:tcW w:w="804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Постоянно, по запросу.</w:t>
            </w:r>
          </w:p>
          <w:p>
            <w:pPr>
              <w:pStyle w:val="S15"/>
              <w:widowControl/>
              <w:spacing w:beforeAutospacing="0" w:before="0" w:afterAutospacing="0" w:after="0"/>
              <w:ind w:firstLine="54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S15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Консультирование осуществляется в устной форме по следующим вопросам:</w:t>
            </w:r>
          </w:p>
          <w:p>
            <w:pPr>
              <w:pStyle w:val="S32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1) порядок проведения контрольных мероприятий;</w:t>
            </w:r>
          </w:p>
          <w:p>
            <w:pPr>
              <w:pStyle w:val="S32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2) периодичность проведения контрольных мероприятий;</w:t>
            </w:r>
          </w:p>
          <w:p>
            <w:pPr>
              <w:pStyle w:val="S32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3) порядок принятия решений по итогам контрольных мероприятий;</w:t>
            </w:r>
          </w:p>
          <w:p>
            <w:pPr>
              <w:pStyle w:val="S32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4) порядок обжалования решений Контрольного органа</w:t>
            </w:r>
          </w:p>
          <w:p>
            <w:pPr>
              <w:pStyle w:val="S32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.</w:t>
            </w:r>
            <w:r>
              <w:rPr>
                <w:kern w:val="0"/>
                <w:lang w:val="ru-RU" w:bidi="ar-SA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Время консультирования не должно превышать 10 минут.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Консультирование в письменной форме осуществляется инспектором в следующих случаях: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2) за время консультирования предоставить ответ на поставленные вопросы невозможно;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в сфере благоустройства,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Контрольный орган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Чебулинского муниципального округа Кемеровской области.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>
            <w:pPr>
              <w:pStyle w:val="Normal"/>
              <w:widowControl/>
              <w:spacing w:before="0" w:after="0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Назначается муниципальным правовым актом администрации Чебулинского муниципального округа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25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Объявление предостережения</w:t>
            </w:r>
          </w:p>
        </w:tc>
        <w:tc>
          <w:tcPr>
            <w:tcW w:w="804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Объявляется контрольным органом и направляется контролируемому лицу </w:t>
            </w:r>
            <w:r>
              <w:rPr>
                <w:color w:val="000000"/>
                <w:kern w:val="0"/>
                <w:sz w:val="24"/>
                <w:szCs w:val="24"/>
                <w:u w:val="single"/>
                <w:lang w:val="ru-RU" w:bidi="ar-SA"/>
              </w:rPr>
              <w:t xml:space="preserve">в случае наличия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>
            <w:pPr>
              <w:pStyle w:val="ConsPlusNormal"/>
              <w:widowControl/>
              <w:spacing w:before="0" w:after="0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>
            <w:pPr>
              <w:pStyle w:val="ConsPlusNormal"/>
              <w:widowControl/>
              <w:spacing w:before="0" w:after="0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Чебулинского муниципального округа Кемеровской области.</w:t>
            </w:r>
          </w:p>
          <w:p>
            <w:pPr>
              <w:pStyle w:val="S26"/>
              <w:widowControl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Назначается муниципальным правовым актом администрации Чебулинского муниципального округа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284" w:right="567" w:gutter="0" w:header="708" w:top="1701" w:footer="708" w:bottom="991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numPr>
          <w:ilvl w:val="0"/>
          <w:numId w:val="0"/>
        </w:numPr>
        <w:jc w:val="both"/>
        <w:outlineLvl w:val="1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8"/>
        <w:gridCol w:w="8647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29"/>
        <w:gridCol w:w="6236"/>
        <w:gridCol w:w="2553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>
      <w:pPr>
        <w:pStyle w:val="Normal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94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86"/>
        <w:gridCol w:w="1886"/>
        <w:gridCol w:w="1886"/>
        <w:gridCol w:w="1680"/>
        <w:gridCol w:w="2092"/>
      </w:tblGrid>
      <w:tr>
        <w:trPr/>
        <w:tc>
          <w:tcPr>
            <w:tcW w:w="18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Показатель</w:t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60% и менее</w:t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61-85%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86-99%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100% и более</w:t>
            </w:r>
          </w:p>
        </w:tc>
      </w:tr>
      <w:tr>
        <w:trPr/>
        <w:tc>
          <w:tcPr>
            <w:tcW w:w="18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Эффект</w:t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Недопустимый</w:t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Низкий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Плановый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Эффективный</w:t>
            </w:r>
          </w:p>
        </w:tc>
      </w:tr>
    </w:tbl>
    <w:p>
      <w:pPr>
        <w:pStyle w:val="Normal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w="11906" w:h="16838"/>
      <w:pgMar w:left="1701" w:right="991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  <w:docVars>
    <w:docVar w:name="BossProviderVariable" w:val="25_01_2006!fbc1f382-dc23-4e82-a1e1-7e6a67e35237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14c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qFormat/>
    <w:rsid w:val="00cc14cb"/>
    <w:pPr>
      <w:keepNext w:val="true"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960dd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cc14cb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semiHidden/>
    <w:qFormat/>
    <w:rsid w:val="00cc14c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cc14cb"/>
    <w:rPr>
      <w:color w:val="000080"/>
      <w:u w:val="single"/>
    </w:rPr>
  </w:style>
  <w:style w:type="character" w:styleId="FontStyle13" w:customStyle="1">
    <w:name w:val="Font Style13"/>
    <w:qFormat/>
    <w:rsid w:val="00cc14cb"/>
    <w:rPr>
      <w:rFonts w:ascii="Times New Roman" w:hAnsi="Times New Roman" w:cs="Times New Roman"/>
      <w:sz w:val="26"/>
      <w:szCs w:val="26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cc14c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c14cb"/>
    <w:rPr>
      <w:rFonts w:ascii="Tahoma" w:hAnsi="Tahoma" w:eastAsia="Times New Roman" w:cs="Tahoma"/>
      <w:sz w:val="16"/>
      <w:szCs w:val="16"/>
      <w:lang w:eastAsia="ru-RU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960d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rsid w:val="00cc14cb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semiHidden/>
    <w:unhideWhenUsed/>
    <w:rsid w:val="00cc14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c14cb"/>
    <w:pPr>
      <w:ind w:left="708"/>
    </w:pPr>
    <w:rPr/>
  </w:style>
  <w:style w:type="paragraph" w:styleId="NormalWeb">
    <w:name w:val="Normal (Web)"/>
    <w:basedOn w:val="Normal"/>
    <w:qFormat/>
    <w:rsid w:val="00cc14cb"/>
    <w:pPr>
      <w:suppressAutoHyphens w:val="true"/>
      <w:spacing w:before="280" w:after="280"/>
    </w:pPr>
    <w:rPr>
      <w:sz w:val="24"/>
      <w:szCs w:val="24"/>
      <w:lang w:eastAsia="zh-CN"/>
    </w:rPr>
  </w:style>
  <w:style w:type="paragraph" w:styleId="Style18" w:customStyle="1">
    <w:name w:val="Style1"/>
    <w:basedOn w:val="Normal"/>
    <w:qFormat/>
    <w:rsid w:val="00cc14cb"/>
    <w:pPr>
      <w:widowControl w:val="false"/>
      <w:suppressAutoHyphens w:val="true"/>
    </w:pPr>
    <w:rPr>
      <w:sz w:val="24"/>
      <w:szCs w:val="24"/>
      <w:lang w:eastAsia="zh-CN"/>
    </w:rPr>
  </w:style>
  <w:style w:type="paragraph" w:styleId="Style19" w:customStyle="1">
    <w:name w:val="Содержимое таблицы"/>
    <w:basedOn w:val="Normal"/>
    <w:qFormat/>
    <w:rsid w:val="00cc14cb"/>
    <w:pPr>
      <w:suppressLineNumbers/>
      <w:suppressAutoHyphens w:val="true"/>
    </w:pPr>
    <w:rPr>
      <w:sz w:val="24"/>
      <w:szCs w:val="24"/>
      <w:lang w:eastAsia="zh-CN"/>
    </w:rPr>
  </w:style>
  <w:style w:type="paragraph" w:styleId="Footer">
    <w:name w:val="Footer"/>
    <w:basedOn w:val="Normal"/>
    <w:link w:val="Style13"/>
    <w:uiPriority w:val="99"/>
    <w:semiHidden/>
    <w:unhideWhenUsed/>
    <w:rsid w:val="00cc14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c14cb"/>
    <w:pPr/>
    <w:rPr>
      <w:rFonts w:ascii="Tahoma" w:hAnsi="Tahoma" w:cs="Tahoma"/>
      <w:sz w:val="16"/>
      <w:szCs w:val="16"/>
    </w:rPr>
  </w:style>
  <w:style w:type="paragraph" w:styleId="HeadDoc" w:customStyle="1">
    <w:name w:val="HeadDoc"/>
    <w:qFormat/>
    <w:rsid w:val="00cc14cb"/>
    <w:pPr>
      <w:keepLines/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15" w:customStyle="1">
    <w:name w:val="s15"/>
    <w:basedOn w:val="Normal"/>
    <w:qFormat/>
    <w:rsid w:val="00cc14cb"/>
    <w:pPr>
      <w:spacing w:beforeAutospacing="1" w:afterAutospacing="1"/>
    </w:pPr>
    <w:rPr>
      <w:rFonts w:eastAsia="Calibri" w:eastAsiaTheme="minorHAnsi"/>
      <w:sz w:val="24"/>
      <w:szCs w:val="24"/>
    </w:rPr>
  </w:style>
  <w:style w:type="paragraph" w:styleId="S32" w:customStyle="1">
    <w:name w:val="s32"/>
    <w:basedOn w:val="Normal"/>
    <w:qFormat/>
    <w:rsid w:val="00cc14cb"/>
    <w:pPr>
      <w:spacing w:beforeAutospacing="1" w:afterAutospacing="1"/>
    </w:pPr>
    <w:rPr>
      <w:rFonts w:eastAsia="Calibri" w:eastAsiaTheme="minorHAnsi"/>
      <w:sz w:val="24"/>
      <w:szCs w:val="24"/>
    </w:rPr>
  </w:style>
  <w:style w:type="paragraph" w:styleId="S26" w:customStyle="1">
    <w:name w:val="s26"/>
    <w:basedOn w:val="Normal"/>
    <w:qFormat/>
    <w:rsid w:val="00cc14cb"/>
    <w:pPr>
      <w:spacing w:beforeAutospacing="1" w:afterAutospacing="1"/>
    </w:pPr>
    <w:rPr>
      <w:rFonts w:eastAsia="Calibri" w:eastAsiaTheme="minorHAnsi"/>
      <w:sz w:val="24"/>
      <w:szCs w:val="24"/>
    </w:rPr>
  </w:style>
  <w:style w:type="paragraph" w:styleId="1" w:customStyle="1">
    <w:name w:val="Обычный1"/>
    <w:autoRedefine/>
    <w:qFormat/>
    <w:rsid w:val="009960dd"/>
    <w:pPr>
      <w:widowControl/>
      <w:tabs>
        <w:tab w:val="clear" w:pos="708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bidi w:val="0"/>
      <w:spacing w:lineRule="auto" w:line="240" w:before="0" w:after="0"/>
      <w:jc w:val="center"/>
    </w:pPr>
    <w:rPr>
      <w:rFonts w:ascii="Times New Roman" w:hAnsi="Times New Roman" w:eastAsia="Calibri" w:cs="Times New Roman" w:eastAsiaTheme="minorHAnsi"/>
      <w:b/>
      <w:color w:val="auto"/>
      <w:kern w:val="0"/>
      <w:sz w:val="28"/>
      <w:szCs w:val="2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9" Type="http://schemas.openxmlformats.org/officeDocument/2006/relationships/hyperlink" Target="https://sbor.ru/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6</Pages>
  <Words>1342</Words>
  <Characters>10378</Characters>
  <CharactersWithSpaces>11630</CharactersWithSpaces>
  <Paragraphs>100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2024-09-23T09:23:00Z</dcterms:created>
  <dc:creator>OMKGLAV</dc:creator>
  <dc:description/>
  <dc:language>ru-RU</dc:language>
  <cp:lastModifiedBy/>
  <cp:lastPrinted>2020-12-11T12:41:00Z</cp:lastPrinted>
  <dcterms:modified xsi:type="dcterms:W3CDTF">2025-12-16T16:18:34Z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