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drawing>
          <wp:inline distT="0" distB="0" distL="0" distR="0">
            <wp:extent cx="885825" cy="10953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КЕМЕРОВСКАЯ ОБЛАСТЬ-КУЗБАСС</w:t>
      </w:r>
    </w:p>
    <w:p>
      <w:pPr>
        <w:pStyle w:val="Heading5"/>
        <w:spacing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 w:val="false"/>
          <w:i w:val="false"/>
          <w:iCs w:val="false"/>
          <w:sz w:val="26"/>
          <w:szCs w:val="26"/>
        </w:rPr>
        <w:t xml:space="preserve">     </w:t>
      </w:r>
      <w:r>
        <w:rPr>
          <w:rFonts w:ascii="PT Astra Serif" w:hAnsi="PT Astra Serif"/>
          <w:bCs w:val="false"/>
          <w:i w:val="false"/>
          <w:iCs w:val="false"/>
          <w:sz w:val="26"/>
          <w:szCs w:val="26"/>
        </w:rPr>
        <w:t xml:space="preserve">ЧЕБУЛИНСКИЙ МУНИЦИПАЛЬНЫЙ ОКРУГ                             </w:t>
      </w:r>
    </w:p>
    <w:p>
      <w:pPr>
        <w:pStyle w:val="Normal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Heading5"/>
        <w:spacing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 w:val="false"/>
          <w:i w:val="false"/>
          <w:iCs w:val="false"/>
          <w:sz w:val="26"/>
          <w:szCs w:val="26"/>
        </w:rPr>
        <w:t xml:space="preserve">АДМИНИСТРАЦИЯ ЧЕБУЛИНСКОГО </w:t>
      </w:r>
    </w:p>
    <w:p>
      <w:pPr>
        <w:pStyle w:val="Heading5"/>
        <w:spacing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 w:val="false"/>
          <w:i w:val="false"/>
          <w:iCs w:val="false"/>
          <w:sz w:val="26"/>
          <w:szCs w:val="26"/>
        </w:rPr>
        <w:t>МУНИЦИПАЛЬНОГО ОКРУГА</w:t>
      </w:r>
    </w:p>
    <w:p>
      <w:pPr>
        <w:pStyle w:val="1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pacing w:val="60"/>
          <w:sz w:val="26"/>
          <w:szCs w:val="26"/>
        </w:rPr>
        <w:t>ПОСТАНОВЛЕНИЕ</w:t>
      </w:r>
    </w:p>
    <w:tbl>
      <w:tblPr>
        <w:tblW w:w="5300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5"/>
        <w:gridCol w:w="3351"/>
        <w:gridCol w:w="402"/>
        <w:gridCol w:w="1031"/>
      </w:tblGrid>
      <w:tr>
        <w:trPr>
          <w:trHeight w:val="217" w:hRule="atLeast"/>
        </w:trPr>
        <w:tc>
          <w:tcPr>
            <w:tcW w:w="515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r>
              <w:rPr>
                <w:rFonts w:ascii="PT Astra Serif" w:hAnsi="PT Astra Serif"/>
                <w:sz w:val="26"/>
                <w:szCs w:val="26"/>
              </w:rPr>
              <w:t>ноября</w:t>
            </w:r>
            <w:r>
              <w:rPr>
                <w:rFonts w:ascii="PT Astra Serif" w:hAnsi="PT Astra Serif"/>
                <w:sz w:val="26"/>
                <w:szCs w:val="26"/>
              </w:rPr>
              <w:t>»  202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662</w:t>
            </w:r>
            <w:r>
              <w:rPr>
                <w:rFonts w:ascii="PT Astra Serif" w:hAnsi="PT Astra Serif"/>
                <w:sz w:val="26"/>
                <w:szCs w:val="26"/>
              </w:rPr>
              <w:t>-п</w:t>
            </w:r>
          </w:p>
        </w:tc>
      </w:tr>
    </w:tbl>
    <w:p>
      <w:pPr>
        <w:pStyle w:val="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</w:t>
      </w:r>
      <w:r>
        <w:rPr>
          <w:rFonts w:ascii="PT Astra Serif" w:hAnsi="PT Astra Serif"/>
          <w:sz w:val="26"/>
          <w:szCs w:val="26"/>
        </w:rPr>
        <w:t>пгт. Верх-Чебула</w:t>
      </w:r>
    </w:p>
    <w:p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О внесении изменений в постановление администрации Чебулинского   муниципального округа от 07.10.2020  № 543-п «Об утверждении муниципальной программы «Культура Чебулинского муниципального  округа» на 2021-2025 годы»</w:t>
      </w:r>
    </w:p>
    <w:p>
      <w:pPr>
        <w:pStyle w:val="Normal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статьей 179 Бюджетного кодекса Российской Федерации, в целях сохранения культурного потенциала и культурного наследия Чебулинского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округа:</w:t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1. Внести в постановление администрации Чебулинского муниципального округа от 07.10.2020 № 543-п </w:t>
      </w:r>
      <w:r>
        <w:rPr>
          <w:rFonts w:ascii="PT Astra Serif" w:hAnsi="PT Astra Serif"/>
          <w:sz w:val="26"/>
          <w:szCs w:val="26"/>
        </w:rPr>
        <w:t xml:space="preserve">«Об утверждении муниципальной программы «Культура Чебулинского муниципального округа» (далее - муниципальная программа) на 2021-2025 годы» </w:t>
      </w:r>
      <w:r>
        <w:rPr>
          <w:rFonts w:ascii="PT Astra Serif" w:hAnsi="PT Astra Serif"/>
          <w:sz w:val="26"/>
          <w:szCs w:val="26"/>
          <w:lang w:eastAsia="ar-SA"/>
        </w:rPr>
        <w:t>(в редакции постановления администрации Чебулинского муниципального округа от  26.03.2021 №170-п, от 14.04.2021  № 254-п, от 13.09.2021 №572-п, от 07.12.2021 №733-п, от 15.03.2022 №176-п, от 20.09.2022 №625-п,  от 29.11.2022 №782-п, от 31.01.2023 №37-п, от 09.03.2023 №102-п, от 27.04.2023 №212-п) следующие изменения:</w:t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1.1. в заголовке и в пункте 1 цифры «2021-2025» заменить цифрами «2021-2026».</w:t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2. В муниципальной программе «Культура Чебулинского муниципального округа» на 2021-2025 годы», утвержденной постановлением администрации Чебулинского муниципального округа от 07.10.2020 №543-п «Об утверждении муниципальной программы «Культура Чебулинского муниципального округа» (далее муниципальная программа) на 2021-2025 годы» (в редакции постановления администрации Чебулинского муниципального округа от 26.03.2021 №170-п, от 14.04.2021 № 254-п, от 13.09.2021 №572-п, от 07.12.2021 №733-п, от 15.03.2022 №176-п, от 20.09.2022 №625-п,  от 29.11.2022 №782-п, от 31.01.2023  №37-п, от 09.03.2023 №102-п, от 27.04.2023 №212-п):</w:t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2.1. в заголовке цифры «2021-2025» заменить  цифрами «2021-2026»;</w:t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2.2. в паспорте муниципальной программы позицию «Срок реализации муниципальной программы» изложить в следующей редакции:</w:t>
      </w:r>
    </w:p>
    <w:tbl>
      <w:tblPr>
        <w:tblStyle w:val="ab"/>
        <w:tblW w:w="10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39"/>
        <w:gridCol w:w="5239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eastAsia="ar-SA" w:bidi="ar-SA"/>
              </w:rPr>
              <w:t>Срок реализации муниципальной программы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eastAsia="ar-SA" w:bidi="ar-SA"/>
              </w:rPr>
              <w:t>2021-2026 годы</w:t>
            </w:r>
          </w:p>
        </w:tc>
      </w:tr>
    </w:tbl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</w:r>
    </w:p>
    <w:p>
      <w:pPr>
        <w:pStyle w:val="Normal"/>
        <w:overflowPunct w:val="true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2.3. в</w:t>
      </w:r>
      <w:r>
        <w:rPr>
          <w:rFonts w:ascii="PT Astra Serif" w:hAnsi="PT Astra Serif"/>
          <w:sz w:val="26"/>
          <w:szCs w:val="26"/>
        </w:rPr>
        <w:t xml:space="preserve">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4051"/>
        <w:gridCol w:w="6211"/>
      </w:tblGrid>
      <w:tr>
        <w:trPr/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Объемы и источники финансирования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 разбивкой по годам реализации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Общий объем средств, необходимых для реализации муниципальной программы, составляет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812 025,5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131 483,9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–184 674,6 тыс.руб;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152 935,6 тыс.руб;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117 843,8 тыс.руб;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112 543,8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112 543,8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 том числе по источникам: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из средств бюджета округа –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784 192,6 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121 614,6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181 768,3 тыс.руб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147 116,2 тыс.руб;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114 764,5 тыс.руб;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109 464,5 тыс. 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109 464,5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из средств областного бюджета –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23 732,7 тыс. 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7 794,3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2 906,3 тыс.руб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2023год – 3 794,2 тыс.руб;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-  3 079,3 тыс.руб;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-   3 079,3 тыс. руб;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3 079,3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из средств федерального бюджета –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4 100,2 тыс. 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2075,0 тыс. руб.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0,0 тыс.руб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2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 </w:t>
            </w:r>
            <w:r>
              <w:rPr>
                <w:rFonts w:ascii="PT Astra Serif" w:hAnsi="PT Astra Serif"/>
                <w:sz w:val="26"/>
                <w:szCs w:val="26"/>
              </w:rPr>
              <w:t>025,2 тыс.руб.;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0,0 тыс.руб.;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0,0 тыс. руб;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0,0 тыс. руб.</w:t>
            </w:r>
          </w:p>
          <w:p>
            <w:pPr>
              <w:pStyle w:val="BodyText"/>
              <w:spacing w:lineRule="auto" w:line="276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</w:r>
    </w:p>
    <w:p>
      <w:pPr>
        <w:sectPr>
          <w:type w:val="nextPage"/>
          <w:pgSz w:w="11906" w:h="16838"/>
          <w:pgMar w:left="1077" w:right="566" w:gutter="0" w:header="0" w:top="568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2.4. раздел 4 муниципальной программы «Ресурсное обеспечение реализации муниципальной программы», изложить в новой редакции:</w:t>
      </w:r>
    </w:p>
    <w:p>
      <w:pPr>
        <w:pStyle w:val="Normal"/>
        <w:spacing w:lineRule="auto" w:line="27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600" w:noHBand="1" w:lastColumn="0" w:firstColumn="0" w:lastRow="0" w:firstRow="0"/>
      </w:tblPr>
      <w:tblGrid>
        <w:gridCol w:w="1229"/>
        <w:gridCol w:w="3204"/>
        <w:gridCol w:w="238"/>
        <w:gridCol w:w="1661"/>
        <w:gridCol w:w="183"/>
        <w:gridCol w:w="1381"/>
        <w:gridCol w:w="114"/>
        <w:gridCol w:w="1160"/>
        <w:gridCol w:w="52"/>
        <w:gridCol w:w="1081"/>
        <w:gridCol w:w="1667"/>
        <w:gridCol w:w="1402"/>
        <w:gridCol w:w="1196"/>
      </w:tblGrid>
      <w:tr>
        <w:trPr>
          <w:trHeight w:val="400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Наименование муниципальной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программы, подпрограммы,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Источник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финансирования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Объем финансовых ресурсов, тыс.рублей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2021 год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2022 год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2023 год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2024 год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2025год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2026 год</w:t>
            </w:r>
          </w:p>
        </w:tc>
      </w:tr>
      <w:tr>
        <w:trPr>
          <w:trHeight w:val="299" w:hRule="atLeast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Муниципальная программа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«Культура Чебулинского муниципального  округа»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131 483,9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184 674,6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152 935,6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117 843,8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112 543,8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112 543,8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121 614,6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181 768,3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147 116,2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114 764,5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109 464,5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109 464,5</w:t>
            </w:r>
          </w:p>
        </w:tc>
      </w:tr>
      <w:tr>
        <w:trPr>
          <w:trHeight w:val="1000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9 869,3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2 906,3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5 819,4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</w:tr>
      <w:tr>
        <w:trPr>
          <w:trHeight w:val="463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2 075,0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2 025,2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502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7 794,3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2 906,3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3 794,2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</w:rPr>
              <w:t>внебюджетные средства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63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1 058,5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799,9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</w:tr>
      <w:tr>
        <w:trPr>
          <w:trHeight w:val="425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1 058,5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799,9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</w:tr>
      <w:tr>
        <w:trPr>
          <w:trHeight w:val="493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78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Проведение различных форм мероприятий в учреждениях культуры округа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1 041,8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793,9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1 041,8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793,9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94,0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«Волонтеры культуры»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16,7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</w:tr>
      <w:tr>
        <w:trPr>
          <w:trHeight w:val="400" w:hRule="atLeast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«Мероприятия антинаркотической направленности»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1,0</w:t>
            </w:r>
          </w:p>
        </w:tc>
      </w:tr>
      <w:tr>
        <w:trPr>
          <w:trHeight w:val="256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2. 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2 672,4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54 176,5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19 331,2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2 777,3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992,1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992,1</w:t>
            </w:r>
          </w:p>
        </w:tc>
      </w:tr>
      <w:tr>
        <w:trPr>
          <w:trHeight w:val="302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54 176,5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16 894,2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2 777,3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992,1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992,1</w:t>
            </w:r>
          </w:p>
        </w:tc>
      </w:tr>
      <w:tr>
        <w:trPr>
          <w:trHeight w:val="151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2 500,0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2 437,0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511,8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7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2 075,0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1 925,2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42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2.1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Ремонты учреждений культуры (1026)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12 325,6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2 011,9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</w:tr>
      <w:tr>
        <w:trPr>
          <w:trHeight w:val="565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12 325,6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2 011,9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</w:tr>
      <w:tr>
        <w:trPr>
          <w:trHeight w:val="565" w:hRule="atLeast"/>
        </w:trPr>
        <w:tc>
          <w:tcPr>
            <w:tcW w:w="44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Текущий ремонт в МБУ ДО «ДШИ №28»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433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2.3 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2 600,0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2 512,4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75,4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2 500,0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2 437,0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2 075,0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1 925,2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511,8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 Шестаковского музея (1044)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31 000,0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4 608,8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2 677,3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892,1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892,1</w:t>
            </w:r>
          </w:p>
        </w:tc>
      </w:tr>
      <w:tr>
        <w:trPr>
          <w:trHeight w:val="283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 Усть-Сертинского СДК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(1093)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10 000,0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8 798,1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2.7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Дизайн  проект и капитальный ремонт здания этно-культурного комплекса пгт. Верх-Чебула, ул. Мира, 2 (в т.ч. приобретение оборудования)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44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Подпрограмма</w:t>
            </w:r>
          </w:p>
          <w:p>
            <w:pPr>
              <w:pStyle w:val="ListParagraph"/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«Содержание учреждений культуры и сохранение объектов историко-культурного наследия Чебулинского муниципального округа»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112 018,1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129 439,6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132 578,3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114 966,5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111 451,7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111 451,7</w:t>
            </w:r>
          </w:p>
        </w:tc>
      </w:tr>
      <w:tr>
        <w:trPr>
          <w:trHeight w:val="39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108 728,8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126 533,3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129 395,9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111 887,2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108 372,4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108 372,4</w:t>
            </w:r>
          </w:p>
        </w:tc>
      </w:tr>
      <w:tr>
        <w:trPr>
          <w:trHeight w:val="93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3 289,3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2 906,3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3 182,4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</w:tr>
      <w:tr>
        <w:trPr>
          <w:trHeight w:val="49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4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3 289,3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2 906,3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3 082,4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3 0793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3 079,3</w:t>
            </w:r>
          </w:p>
        </w:tc>
      </w:tr>
      <w:tr>
        <w:trPr>
          <w:trHeight w:val="169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3.1.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аппарата управления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773,1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1 440,9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1 490,5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</w:tr>
      <w:tr>
        <w:trPr>
          <w:trHeight w:val="74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color w:val="FF0000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773,1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1 440,9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1 490,5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1 488,6</w:t>
            </w:r>
          </w:p>
        </w:tc>
      </w:tr>
      <w:tr>
        <w:trPr>
          <w:trHeight w:val="249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3.2.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МБУ ДО «ДШИ №28»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3 576,1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4 026,6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4 547,7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</w:tr>
      <w:tr>
        <w:trPr>
          <w:trHeight w:val="467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3 576,1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4 026,6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4 547,7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4 157,7</w:t>
            </w:r>
          </w:p>
        </w:tc>
      </w:tr>
      <w:tr>
        <w:trPr>
          <w:trHeight w:val="318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3.3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учреждений культуры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53 689,4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59 459,3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57 390,0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44 920,9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41 406,1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41 406,1</w:t>
            </w:r>
          </w:p>
        </w:tc>
      </w:tr>
      <w:tr>
        <w:trPr>
          <w:trHeight w:val="42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53 689,4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59 459,3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57 390,0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44 920,9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41 406,1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41 406,1</w:t>
            </w:r>
          </w:p>
        </w:tc>
      </w:tr>
      <w:tr>
        <w:trPr>
          <w:trHeight w:val="256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3.4.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МБУК «ЧКМ»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5 241,3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7 910,2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9 797,7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</w:tr>
      <w:tr>
        <w:trPr>
          <w:trHeight w:val="232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5 241,3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7 910,2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9 797,7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7 401,0</w:t>
            </w:r>
          </w:p>
        </w:tc>
      </w:tr>
      <w:tr>
        <w:trPr>
          <w:trHeight w:val="275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3.5.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МБУК «Чебулинская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18 681,8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20 748,1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22 018,1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</w:tr>
      <w:tr>
        <w:trPr>
          <w:trHeight w:val="70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18 681,8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20 748,1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22 018,1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20 945,0</w:t>
            </w:r>
          </w:p>
        </w:tc>
      </w:tr>
      <w:tr>
        <w:trPr>
          <w:trHeight w:val="250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3.6.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Содержание МБУ «ЦБТО УК»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25 102,6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28 873,9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31 972,4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</w:tr>
      <w:tr>
        <w:trPr>
          <w:trHeight w:val="19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25 102,6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28 873,9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31 972,4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31 879,0</w:t>
            </w:r>
          </w:p>
        </w:tc>
      </w:tr>
      <w:tr>
        <w:trPr>
          <w:trHeight w:val="330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3.7.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Сохранение и повышение доступности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1 560,3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3 959,3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2 071,3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1560,3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3 959,3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2 071,3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1 000,0</w:t>
            </w:r>
          </w:p>
        </w:tc>
      </w:tr>
      <w:tr>
        <w:trPr>
          <w:trHeight w:val="292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3.8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местный бюджет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90,9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</w:tr>
      <w:tr>
        <w:trPr>
          <w:trHeight w:val="25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90,9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95,0</w:t>
            </w:r>
          </w:p>
        </w:tc>
      </w:tr>
      <w:tr>
        <w:trPr>
          <w:trHeight w:val="268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3.9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Популяризационные мероприятия, посвященные объектам культурного наследия и проведенные на их территории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5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44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pBdr>
                <w:top w:val="single" w:sz="4" w:space="1" w:color="000000"/>
              </w:pBd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3.10.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Изготовление и установка информационных надписей, обозначений на объектах культурного наследия, являющихся муниципальной собственностью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82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443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Ежемесячные выплаты стимулирующего  характера работникам муниципальных библиотек, музеев и культурно-досуговых учреждений (ОБ)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</w:tr>
      <w:tr>
        <w:trPr>
          <w:trHeight w:val="80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3 070,4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Этнокультурное развитие наций и народностей (1080)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126,2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126,2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73" w:hRule="atLeast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Меры социальной поддержки отдельных категорий работников культуры (ОБ)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</w:tr>
      <w:tr>
        <w:trPr>
          <w:trHeight w:val="80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</w:tr>
      <w:tr>
        <w:trPr>
          <w:trHeight w:val="358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8,9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Этнокультурное развитие наций и народностей (7048)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Проведение мероприятий по сохранению культурного наследия Кемеровской области, развитию таланта одаренных детей, совершенствованию самодеятельного, профессионального искусства и киноискусства (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S</w:t>
            </w:r>
            <w:r>
              <w:rPr>
                <w:rFonts w:ascii="PT Astra Serif" w:hAnsi="PT Astra Serif"/>
                <w:sz w:val="26"/>
                <w:szCs w:val="26"/>
              </w:rPr>
              <w:t>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3.17 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ind w:left="360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Создание ТИЦ (с функцией туроператора)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157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4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840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Создание архитектурно-пространственного  оформления склона холма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3.19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Создание историко-культурного ландшафтного парка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3.20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106,3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103,1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 Подпрограмма «Подготовка Чебулинского муниципального округа к празднованию 300-летия образования Кузбасса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12 000,5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12 000,5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4.1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Подготовка и проведение празднования 300-летия образования Кузбасса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10 023,9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10 023,9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4.2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Капитальный ремонт здания МБУК «Чебулинская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4.3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Подготовка и проведение 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1 976,6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1 976,6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460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5. Подпрограмма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«Социально-экономическое развитие наций и народностей в Чебулинском муниципальном округе»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226,2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0,0</w:t>
            </w:r>
          </w:p>
        </w:tc>
      </w:tr>
      <w:tr>
        <w:trPr>
          <w:trHeight w:val="23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иные не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запрещенные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законодательством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5.1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Этнокультурное развитие наций и народностей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5.2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Сохранение и развитие центров казачьей культур, творческих коллективов казачьей направленности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5.3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5.4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«Социальная и культура адаптация и интеграция иностранных граждан»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100" w:hRule="atLeast"/>
        </w:trPr>
        <w:tc>
          <w:tcPr>
            <w:tcW w:w="122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</w:r>
          </w:p>
        </w:tc>
        <w:tc>
          <w:tcPr>
            <w:tcW w:w="166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667" w:type="dxa"/>
            <w:tcBorders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402" w:type="dxa"/>
            <w:tcBorders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96" w:type="dxa"/>
            <w:tcBorders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</w:t>
      </w:r>
    </w:p>
    <w:p>
      <w:pPr>
        <w:pStyle w:val="Normal"/>
        <w:overflowPunct w:val="true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2.5. в разделе 5 муниципальной программы «Сведения о планируемых значениях целевых показателей (индикаторов) муниципальной программы», изложить в новой редакции: </w:t>
      </w:r>
    </w:p>
    <w:p>
      <w:pPr>
        <w:pStyle w:val="Normal"/>
        <w:overflowPunct w:val="true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1387"/>
        <w:gridCol w:w="1552"/>
        <w:gridCol w:w="897"/>
        <w:gridCol w:w="1003"/>
        <w:gridCol w:w="1004"/>
        <w:gridCol w:w="1141"/>
        <w:gridCol w:w="1002"/>
        <w:gridCol w:w="1010"/>
        <w:gridCol w:w="924"/>
      </w:tblGrid>
      <w:tr>
        <w:trPr>
          <w:trHeight w:val="600" w:hRule="atLeast"/>
        </w:trPr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муниципальной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программы,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подпрограммы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муниципальной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программы,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мероприятия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целевого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показателя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(индикатора)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Единица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измерения</w:t>
            </w:r>
          </w:p>
        </w:tc>
        <w:tc>
          <w:tcPr>
            <w:tcW w:w="60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Плановое значение целевого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показателя (индикатора)</w:t>
            </w:r>
          </w:p>
        </w:tc>
      </w:tr>
      <w:tr>
        <w:trPr>
          <w:trHeight w:val="800" w:hRule="atLeast"/>
        </w:trPr>
        <w:tc>
          <w:tcPr>
            <w:tcW w:w="138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55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89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</w:t>
            </w:r>
          </w:p>
        </w:tc>
      </w:tr>
      <w:tr>
        <w:trPr/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>
        <w:trPr>
          <w:trHeight w:val="3605" w:hRule="atLeast"/>
        </w:trPr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Муниципальная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программа</w:t>
            </w:r>
          </w:p>
        </w:tc>
        <w:tc>
          <w:tcPr>
            <w:tcW w:w="1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уровень удовлетворенности граждан Чебулинского муниципального округа качеством предоставления муниципальных услуг в сфере культуры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</w:tc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91,0</w:t>
            </w:r>
          </w:p>
        </w:tc>
      </w:tr>
      <w:tr>
        <w:trPr>
          <w:trHeight w:val="2432" w:hRule="atLeast"/>
        </w:trPr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1.Подпрограмма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1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1.1 Мероприятие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Проведение различных форм мероприятий в учреждениях культуры округа.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численность участников культурно-досуговых мероприятий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Ед.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31 876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255 061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260 162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265 365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270 672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270 672</w:t>
            </w:r>
          </w:p>
        </w:tc>
      </w:tr>
      <w:tr>
        <w:trPr>
          <w:trHeight w:val="70" w:hRule="atLeast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2. 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уровень фактической обеспеченности учреждениями культуры от нормативной потребности (в том числе клубами и учреждениями клубного типа)</w:t>
            </w:r>
          </w:p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 учреждений культуры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Количество отремонтированных учреждений культуры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>
        <w:trPr>
          <w:trHeight w:val="1137" w:hRule="atLeast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3. Подпрограмма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«Содержание учреждений культуры и сохранение объектов историко-культурного наследия Чебулинского муниципального округа»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3460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3490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3470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3 470</w:t>
            </w:r>
          </w:p>
        </w:tc>
      </w:tr>
      <w:tr>
        <w:trPr>
          <w:trHeight w:val="600" w:hRule="atLeast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3.7.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Сохранение и повышение доступности объектов историко-культурного наследия.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доля объектов культурного наследия, находящихся в муниципальной  собственности и требующих консервации или реставрации, в общем количестве</w:t>
            </w:r>
          </w:p>
          <w:p>
            <w:pPr>
              <w:pStyle w:val="ConsPlusNormal"/>
              <w:ind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объектов культурного наследия, находящихся в муниципальной собственности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8,33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8,33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8,33</w:t>
            </w:r>
          </w:p>
        </w:tc>
      </w:tr>
      <w:tr>
        <w:trPr>
          <w:trHeight w:val="1181" w:hRule="atLeast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3.3.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«Содержание учреждений культуры»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средняя заработная плата работников учреждений культуры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Руб.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35 895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40 687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44 249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47 213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50 376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50 376</w:t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overflowPunct w:val="true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>
        <w:rPr>
          <w:rFonts w:ascii="PT Astra Serif" w:hAnsi="PT Astra Serif"/>
          <w:sz w:val="26"/>
          <w:szCs w:val="26"/>
        </w:rPr>
        <w:t>Признать утратившим силу постановление администрации Чебулинского муниципального округа от 02.10.2023 №513-п «</w:t>
      </w:r>
      <w:r>
        <w:rPr>
          <w:rFonts w:cs="Times New Roman" w:ascii="PT Astra Serif" w:hAnsi="PT Astra Serif"/>
          <w:sz w:val="26"/>
          <w:szCs w:val="26"/>
        </w:rPr>
        <w:t>О внесении изменений в постановление администрации Чебулинского   муниципального округа от 07.10.2020г. № 543-п «Об утверждении муниципальной программы «Культура Чебулинского муниципального  округа» на 2021-2025 годы».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6"/>
          <w:szCs w:val="26"/>
        </w:rPr>
        <w:t>4</w:t>
      </w:r>
      <w:r>
        <w:rPr>
          <w:rFonts w:cs="PT Astra Serif" w:ascii="PT Astra Serif" w:hAnsi="PT Astra Serif"/>
          <w:b w:val="false"/>
          <w:bCs w:val="false"/>
          <w:color w:val="000000"/>
          <w:sz w:val="26"/>
          <w:szCs w:val="26"/>
        </w:rPr>
        <w:t xml:space="preserve">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</w:rPr>
        <w:t xml:space="preserve">в сетевом издании —         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  <w:lang w:eastAsia="ar-SA" w:bidi="hi-IN"/>
        </w:rPr>
        <w:t>5</w:t>
      </w:r>
      <w:r>
        <w:rPr>
          <w:rFonts w:cs="PT Astra Serif" w:ascii="PT Astra Serif" w:hAnsi="PT Astra Serif"/>
          <w:color w:val="000000"/>
          <w:sz w:val="26"/>
          <w:szCs w:val="26"/>
          <w:lang w:eastAsia="ar-SA" w:bidi="hi-IN"/>
        </w:rPr>
        <w:t xml:space="preserve">. Настоящее постановление вступает в силу после его официального      опубликования </w:t>
      </w:r>
      <w:r>
        <w:rPr>
          <w:rFonts w:cs="PT Astra Serif" w:ascii="PT Astra Serif" w:hAnsi="PT Astra Serif"/>
          <w:i w:val="false"/>
          <w:strike w:val="false"/>
          <w:dstrike w:val="false"/>
          <w:color w:val="000000"/>
          <w:sz w:val="26"/>
          <w:szCs w:val="26"/>
          <w:u w:val="none"/>
          <w:lang w:eastAsia="ar-SA" w:bidi="hi-IN"/>
        </w:rPr>
        <w:t>в сетевом издании — «Официальный сайт Чебулинского              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PT Astra Serif" w:ascii="PT Astra Serif" w:hAnsi="PT Astra Serif"/>
          <w:color w:val="000000"/>
          <w:sz w:val="26"/>
          <w:szCs w:val="26"/>
          <w:lang w:eastAsia="ar-SA" w:bidi="hi-IN"/>
        </w:rPr>
        <w:t>.</w:t>
      </w:r>
    </w:p>
    <w:p>
      <w:pPr>
        <w:pStyle w:val="Normal"/>
        <w:overflowPunct w:val="true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PT Astra Serif" w:hAnsi="PT Astra Serif"/>
          <w:sz w:val="26"/>
          <w:szCs w:val="26"/>
        </w:rPr>
        <w:t xml:space="preserve">округа </w:t>
      </w:r>
      <w:r>
        <w:rPr>
          <w:rFonts w:ascii="PT Astra Serif" w:hAnsi="PT Astra Serif"/>
          <w:sz w:val="26"/>
          <w:szCs w:val="26"/>
        </w:rPr>
        <w:t xml:space="preserve">по социальным вопросам И.А. Данильченко. 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ConsPlusNormal"/>
        <w:widowControl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Глава Чебулинского </w:t>
      </w:r>
    </w:p>
    <w:p>
      <w:pPr>
        <w:pStyle w:val="ConsPlusNormal"/>
        <w:widowControl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муниципального округа                                                             Н.А. Воронина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Journal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18"/>
      <w:numFmt w:val="decimal"/>
      <w:lvlText w:val="%1.%2"/>
      <w:lvlJc w:val="left"/>
      <w:pPr>
        <w:tabs>
          <w:tab w:val="num" w:pos="0"/>
        </w:tabs>
        <w:ind w:left="4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5">
    <w:name w:val="Heading 5"/>
    <w:basedOn w:val="Normal"/>
    <w:next w:val="Normal"/>
    <w:link w:val="5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9e1c21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Основной текст Знак"/>
    <w:basedOn w:val="DefaultParagraphFont"/>
    <w:qFormat/>
    <w:rsid w:val="009e1c21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e1c21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2494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9e1c21"/>
    <w:pPr/>
    <w:rPr>
      <w:b/>
      <w:bCs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9e1c2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бычный1"/>
    <w:qFormat/>
    <w:rsid w:val="009e1c21"/>
    <w:pPr>
      <w:widowControl w:val="false"/>
      <w:overflowPunct w:val="tru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NoSpacing">
    <w:name w:val="No Spacing"/>
    <w:uiPriority w:val="1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9e1c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e1c2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c21"/>
    <w:pPr>
      <w:spacing w:before="0" w:after="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2494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01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0932-B20D-45C2-8613-A191C92A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Application>LibreOffice/7.6.7.2$Linux_X86_64 LibreOffice_project/60$Build-2</Application>
  <AppVersion>15.0000</AppVersion>
  <Pages>14</Pages>
  <Words>2447</Words>
  <Characters>14374</Characters>
  <CharactersWithSpaces>16011</CharactersWithSpaces>
  <Paragraphs>1058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2021-09-07T06:40:00Z</dcterms:created>
  <dc:creator>Наталья</dc:creator>
  <dc:description/>
  <dc:language>ru-RU</dc:language>
  <cp:lastModifiedBy/>
  <cp:lastPrinted>2023-09-18T03:42:00Z</cp:lastPrinted>
  <dcterms:modified xsi:type="dcterms:W3CDTF">2025-11-25T11:46:11Z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