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uto" w:line="240"/>
        <w:jc w:val="center"/>
        <w:rPr>
          <w:rFonts w:ascii="PT Astra Serif" w:hAnsi="PT Astra Serif"/>
          <w:sz w:val="26"/>
          <w:szCs w:val="26"/>
        </w:rPr>
      </w:pPr>
      <w:r>
        <w:rPr/>
        <w:drawing>
          <wp:inline distT="0" distB="0" distL="0" distR="0">
            <wp:extent cx="885825" cy="1095375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spacing w:lineRule="auto" w:line="240"/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КЕМЕРОВСКАЯ ОБЛАСТЬ - КУЗБАСС</w:t>
      </w:r>
    </w:p>
    <w:p>
      <w:pPr>
        <w:pStyle w:val="Heading5"/>
        <w:spacing w:lineRule="auto" w:line="240" w:before="0" w:after="0"/>
        <w:jc w:val="center"/>
        <w:rPr>
          <w:sz w:val="28"/>
          <w:szCs w:val="28"/>
        </w:rPr>
      </w:pPr>
      <w:r>
        <w:rPr>
          <w:rFonts w:ascii="PT Astra Serif" w:hAnsi="PT Astra Serif"/>
          <w:bCs w:val="false"/>
          <w:i w:val="false"/>
          <w:iCs w:val="false"/>
          <w:sz w:val="28"/>
          <w:szCs w:val="28"/>
        </w:rPr>
        <w:t xml:space="preserve">ЧЕБУЛИНСКИЙ МУНИЦИПАЛЬНЫЙ ОКРУГ         </w:t>
      </w:r>
    </w:p>
    <w:p>
      <w:pPr>
        <w:pStyle w:val="Normal"/>
        <w:spacing w:lineRule="auto" w:line="240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</w:p>
    <w:p>
      <w:pPr>
        <w:pStyle w:val="Heading5"/>
        <w:spacing w:lineRule="auto" w:line="240" w:before="0" w:after="0"/>
        <w:jc w:val="center"/>
        <w:rPr>
          <w:sz w:val="28"/>
          <w:szCs w:val="28"/>
        </w:rPr>
      </w:pPr>
      <w:r>
        <w:rPr>
          <w:rFonts w:ascii="PT Astra Serif" w:hAnsi="PT Astra Serif"/>
          <w:bCs w:val="false"/>
          <w:i w:val="false"/>
          <w:iCs w:val="false"/>
          <w:sz w:val="28"/>
          <w:szCs w:val="28"/>
        </w:rPr>
        <w:t xml:space="preserve">   </w:t>
      </w:r>
      <w:r>
        <w:rPr>
          <w:rFonts w:ascii="PT Astra Serif" w:hAnsi="PT Astra Serif"/>
          <w:bCs w:val="false"/>
          <w:i w:val="false"/>
          <w:iCs w:val="false"/>
          <w:sz w:val="28"/>
          <w:szCs w:val="28"/>
        </w:rPr>
        <w:t xml:space="preserve">АДМИНИСТРАЦИЯ ЧЕБУЛИНСКОГО                 </w:t>
      </w:r>
    </w:p>
    <w:p>
      <w:pPr>
        <w:pStyle w:val="Heading5"/>
        <w:spacing w:lineRule="auto" w:line="240" w:before="0" w:after="0"/>
        <w:jc w:val="center"/>
        <w:rPr>
          <w:sz w:val="28"/>
          <w:szCs w:val="28"/>
        </w:rPr>
      </w:pPr>
      <w:r>
        <w:rPr>
          <w:rFonts w:ascii="PT Astra Serif" w:hAnsi="PT Astra Serif"/>
          <w:bCs w:val="false"/>
          <w:i w:val="false"/>
          <w:iCs w:val="false"/>
          <w:sz w:val="28"/>
          <w:szCs w:val="28"/>
        </w:rPr>
        <w:t>МУНИЦИПАЛЬНОГО ОКРУГА</w:t>
      </w:r>
    </w:p>
    <w:p>
      <w:pPr>
        <w:pStyle w:val="1"/>
        <w:spacing w:lineRule="auto" w:line="240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</w:r>
    </w:p>
    <w:p>
      <w:pPr>
        <w:pStyle w:val="1"/>
        <w:spacing w:lineRule="auto" w:line="240"/>
        <w:jc w:val="center"/>
        <w:rPr>
          <w:sz w:val="28"/>
          <w:szCs w:val="28"/>
        </w:rPr>
      </w:pPr>
      <w:r>
        <w:rPr>
          <w:rFonts w:ascii="PT Astra Serif" w:hAnsi="PT Astra Serif"/>
          <w:b/>
          <w:bCs/>
          <w:spacing w:val="60"/>
          <w:sz w:val="28"/>
          <w:szCs w:val="28"/>
        </w:rPr>
        <w:t>ПОСТАНОВЛЕНИЕ</w:t>
      </w:r>
    </w:p>
    <w:tbl>
      <w:tblPr>
        <w:tblW w:w="5300" w:type="dxa"/>
        <w:jc w:val="left"/>
        <w:tblInd w:w="22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515"/>
        <w:gridCol w:w="3351"/>
        <w:gridCol w:w="402"/>
        <w:gridCol w:w="1031"/>
      </w:tblGrid>
      <w:tr>
        <w:trPr>
          <w:trHeight w:val="217" w:hRule="atLeast"/>
        </w:trPr>
        <w:tc>
          <w:tcPr>
            <w:tcW w:w="515" w:type="dxa"/>
            <w:tcBorders/>
            <w:vAlign w:val="bottom"/>
          </w:tcPr>
          <w:p>
            <w:pPr>
              <w:pStyle w:val="1"/>
              <w:spacing w:lineRule="auto" w:line="240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335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«20»  ноября  2025</w:t>
            </w:r>
          </w:p>
        </w:tc>
        <w:tc>
          <w:tcPr>
            <w:tcW w:w="402" w:type="dxa"/>
            <w:tcBorders/>
            <w:vAlign w:val="bottom"/>
          </w:tcPr>
          <w:p>
            <w:pPr>
              <w:pStyle w:val="1"/>
              <w:spacing w:lineRule="auto" w:line="240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№</w:t>
            </w:r>
          </w:p>
        </w:tc>
        <w:tc>
          <w:tcPr>
            <w:tcW w:w="1031" w:type="dxa"/>
            <w:tcBorders>
              <w:bottom w:val="single" w:sz="4" w:space="0" w:color="000000"/>
            </w:tcBorders>
            <w:vAlign w:val="bottom"/>
          </w:tcPr>
          <w:p>
            <w:pPr>
              <w:pStyle w:val="1"/>
              <w:spacing w:lineRule="auto" w:line="240"/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656-п</w:t>
            </w:r>
          </w:p>
        </w:tc>
      </w:tr>
    </w:tbl>
    <w:p>
      <w:pPr>
        <w:pStyle w:val="1"/>
        <w:spacing w:lineRule="auto" w:line="240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                    </w:t>
      </w:r>
      <w:r>
        <w:rPr>
          <w:rFonts w:ascii="PT Astra Serif" w:hAnsi="PT Astra Serif"/>
          <w:sz w:val="22"/>
          <w:szCs w:val="22"/>
        </w:rPr>
        <w:t>пгт. Верх-Чебула</w:t>
      </w:r>
    </w:p>
    <w:p>
      <w:pPr>
        <w:pStyle w:val="ConsPlusTitle"/>
        <w:widowControl/>
        <w:spacing w:lineRule="auto" w:line="240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ConsPlusTitle"/>
        <w:widowControl/>
        <w:spacing w:lineRule="auto" w:line="240"/>
        <w:jc w:val="center"/>
        <w:rPr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 внесении изменений в постановление администрации Чебулинского   муниципального округа от 07.10.2020 № 551-п «Об утверждении муниципальной программы «Развитие внутреннего и въездного туризма в Чебулинском муниципальном округе» на 2021-2025 годы</w:t>
      </w:r>
    </w:p>
    <w:p>
      <w:pPr>
        <w:pStyle w:val="ConsPlusTitle"/>
        <w:widowControl/>
        <w:spacing w:lineRule="auto" w:line="240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В соответствии со статьей 179 Бюджетного кодекса Российской Федерации, в целях создания условий для развития внутреннего и въездного туризма в Чебулинском муниципальном округе, стимулировани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я развития объектов туризма и сопутствующей инфраструктуры, администрация Чебулинского муниципального округа:</w:t>
      </w:r>
    </w:p>
    <w:p>
      <w:pPr>
        <w:pStyle w:val="Normal"/>
        <w:spacing w:lineRule="auto" w:line="24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Внести в  постановление администрации Чебулинского муниципального округа от 07.10.2020 № 551-п «Об утверждении муниципальной программы «Развитие внутреннего и въездного туризма в Чебулинском муниципальном  округе» (далее – муниципальная программа) на 2021-2025 годы» (в редакции постановления администрации Чебулинского муниципального округа от 26.03.2021 г №174-п, от 13.09.2021 №573-п, от 15.03.2022 №177-п, от  20.09.2022 №629-п, от 02.05.2023 №221-п) следующие изменения: </w:t>
      </w:r>
    </w:p>
    <w:p>
      <w:pPr>
        <w:pStyle w:val="Normal"/>
        <w:overflowPunct w:val="false"/>
        <w:spacing w:lineRule="auto" w:line="240"/>
        <w:ind w:firstLine="708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ar-SA"/>
        </w:rPr>
        <w:t>1.1. в заголовке и в пункте 1 цифры «2021-2025» заменить цифрами «2021-2026».</w:t>
      </w:r>
    </w:p>
    <w:p>
      <w:pPr>
        <w:pStyle w:val="Normal"/>
        <w:overflowPunct w:val="false"/>
        <w:spacing w:lineRule="auto" w:line="240"/>
        <w:ind w:firstLine="708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ar-SA"/>
        </w:rPr>
        <w:t xml:space="preserve">2. В муниципальной программе «Развитие внутреннего и въездного туризма в Чебулинском муниципальном округе» (далее  муниципальная программа)  на 2021-2025 годы, утвержденной постановлением администрации Чебулинского муниципального округа от 07.10.2020г №551-п «Об утверждении муниципальной программы «Развитие внутреннего и въездного туризма в Чебулинском муниципальном округе» (далее муниципальная программа) на 2021-2025 годы» (в редакции постановления администрации Чебулинского муниципального округа от 26.03.2021г №174-п, от 13.09.2021 №573-п, от 15.03.2022г №177-п, </w:t>
      </w:r>
      <w:r>
        <w:rPr>
          <w:rFonts w:ascii="PT Astra Serif" w:hAnsi="PT Astra Serif"/>
          <w:sz w:val="26"/>
          <w:szCs w:val="26"/>
        </w:rPr>
        <w:t>от  20.09.2022г №629-п, от 02.05.2023г №221-п</w:t>
      </w:r>
      <w:r>
        <w:rPr>
          <w:rFonts w:ascii="PT Astra Serif" w:hAnsi="PT Astra Serif"/>
          <w:sz w:val="26"/>
          <w:szCs w:val="26"/>
          <w:lang w:eastAsia="ar-SA"/>
        </w:rPr>
        <w:t>):</w:t>
      </w:r>
    </w:p>
    <w:p>
      <w:pPr>
        <w:pStyle w:val="Normal"/>
        <w:overflowPunct w:val="false"/>
        <w:spacing w:lineRule="auto" w:line="240"/>
        <w:ind w:firstLine="708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eastAsia="ar-SA"/>
        </w:rPr>
        <w:t>2.1. в заголовке цифры «2021-2025» заменить  цифрами «2021-2026»;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>2.2. в паспорте муниципальной программы позицию «Сроки и этапы реализации программы» изложить в следующей редакции:</w:t>
      </w:r>
    </w:p>
    <w:tbl>
      <w:tblPr>
        <w:tblStyle w:val="ab"/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68"/>
        <w:gridCol w:w="5068"/>
      </w:tblGrid>
      <w:tr>
        <w:trPr/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Сроки и этапы реализации программы</w:t>
            </w:r>
          </w:p>
        </w:tc>
        <w:tc>
          <w:tcPr>
            <w:tcW w:w="506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2021-2026 годы</w:t>
            </w:r>
          </w:p>
        </w:tc>
      </w:tr>
    </w:tbl>
    <w:p>
      <w:pPr>
        <w:pStyle w:val="Normal"/>
        <w:spacing w:lineRule="auto" w:line="2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2.3. в паспорте муниципальной программы позицию «Объемы и источники финансирования с разбивкой по годам реализации муниципальной программы» изложить в следующей редакции: </w:t>
      </w:r>
    </w:p>
    <w:p>
      <w:pPr>
        <w:pStyle w:val="Normal"/>
        <w:spacing w:lineRule="auto" w:line="24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tbl>
      <w:tblPr>
        <w:tblW w:w="9706" w:type="dxa"/>
        <w:jc w:val="left"/>
        <w:tblInd w:w="0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noVBand="0" w:val="0000" w:noHBand="0" w:lastColumn="0" w:firstColumn="0" w:lastRow="0" w:firstRow="0"/>
      </w:tblPr>
      <w:tblGrid>
        <w:gridCol w:w="4186"/>
        <w:gridCol w:w="5519"/>
      </w:tblGrid>
      <w:tr>
        <w:trPr>
          <w:trHeight w:val="400" w:hRule="atLeast"/>
        </w:trPr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Объемы и источники финансирования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с разбивкой по годам реализации</w:t>
            </w:r>
          </w:p>
          <w:p>
            <w:pPr>
              <w:pStyle w:val="Normal"/>
              <w:widowControl w:val="false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Общий объем средств, необходимых для реализации муниципальной программы, составляет 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35 358,8  тыс. руб.</w:t>
            </w:r>
            <w:r>
              <w:rPr>
                <w:rFonts w:ascii="PT Astra Serif" w:hAnsi="PT Astra Serif"/>
                <w:sz w:val="26"/>
                <w:szCs w:val="26"/>
              </w:rPr>
              <w:t>, в том числе по годам реализации: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2021 год – 1 368,8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2022 год –  21 078,2 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2023 год –  12 611,8 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2024 год – 100,0 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2025 год – 100,0 тыс. 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2026 год – 100,0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в том числе по источникам: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- из средств областного бюджета –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0,0 тыс. руб.</w:t>
            </w:r>
            <w:r>
              <w:rPr>
                <w:rFonts w:ascii="PT Astra Serif" w:hAnsi="PT Astra Serif"/>
                <w:sz w:val="26"/>
                <w:szCs w:val="26"/>
              </w:rPr>
              <w:t>, в том числе по годам реализации: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2021 год – 0,0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2022 год – 0,0тыс.руб;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2023 год – 0,0тыс.руб;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2024 год – 0,0тыс.руб;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2025 год – 0,0 тыс. 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2026 год – 0,0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- из средств бюджета округа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 xml:space="preserve"> 35 358,8 тыс. руб.</w:t>
            </w:r>
            <w:r>
              <w:rPr>
                <w:rFonts w:ascii="PT Astra Serif" w:hAnsi="PT Astra Serif"/>
                <w:sz w:val="26"/>
                <w:szCs w:val="26"/>
              </w:rPr>
              <w:t>, в том числе по годам реализации: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2021 год – 1 368,8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2022 год – 21 078,2  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2023 год – 12 611,8 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2024 год – 100,0 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2025 год – 100,0 тыс. 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2026 год – 100,0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- из внебюджетных источников – </w:t>
            </w:r>
            <w:r>
              <w:rPr>
                <w:rFonts w:ascii="PT Astra Serif" w:hAnsi="PT Astra Serif"/>
                <w:b/>
                <w:sz w:val="26"/>
                <w:szCs w:val="26"/>
              </w:rPr>
              <w:t>0,0 тыс. руб.</w:t>
            </w:r>
            <w:r>
              <w:rPr>
                <w:rFonts w:ascii="PT Astra Serif" w:hAnsi="PT Astra Serif"/>
                <w:sz w:val="26"/>
                <w:szCs w:val="26"/>
              </w:rPr>
              <w:t>, в том числе по годам реализации: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2021 год – 0,0 тыс. руб.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2022 год – 0,0 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2023 год – 0,0 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2024 год – 0,0 тыс.руб;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2025 год – 0,0 тыс. руб;</w:t>
            </w:r>
          </w:p>
          <w:p>
            <w:pPr>
              <w:pStyle w:val="Normal"/>
              <w:spacing w:lineRule="auto" w:line="240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2026 год – 0,0 тыс. руб.</w:t>
            </w:r>
          </w:p>
        </w:tc>
      </w:tr>
    </w:tbl>
    <w:p>
      <w:pPr>
        <w:pStyle w:val="ListParagraph"/>
        <w:spacing w:lineRule="auto" w:line="240" w:before="0" w:after="0"/>
        <w:ind w:firstLine="709" w:left="0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val="ru-RU"/>
        </w:rPr>
        <w:t>2.4. таблицу 2.1 «Динамика развития туристической базы»  раздел 2 муниципальной программы «Сведения о планируемых значениях целевых показателей (индикаторов) муниципальной программы» изложить в следующей редакции:</w:t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</w:r>
    </w:p>
    <w:tbl>
      <w:tblPr>
        <w:tblStyle w:val="ab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311"/>
        <w:gridCol w:w="852"/>
        <w:gridCol w:w="972"/>
        <w:gridCol w:w="1220"/>
        <w:gridCol w:w="1218"/>
        <w:gridCol w:w="1093"/>
        <w:gridCol w:w="1218"/>
        <w:gridCol w:w="1094"/>
        <w:gridCol w:w="942"/>
      </w:tblGrid>
      <w:tr>
        <w:trPr/>
        <w:tc>
          <w:tcPr>
            <w:tcW w:w="1311" w:type="dxa"/>
            <w:vMerge w:val="restart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Показатели</w:t>
            </w:r>
          </w:p>
        </w:tc>
        <w:tc>
          <w:tcPr>
            <w:tcW w:w="852" w:type="dxa"/>
            <w:vMerge w:val="restart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Единицы измерения</w:t>
            </w:r>
          </w:p>
        </w:tc>
        <w:tc>
          <w:tcPr>
            <w:tcW w:w="972" w:type="dxa"/>
            <w:vMerge w:val="restart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Базовый год (2019г)</w:t>
            </w:r>
          </w:p>
        </w:tc>
        <w:tc>
          <w:tcPr>
            <w:tcW w:w="6785" w:type="dxa"/>
            <w:gridSpan w:val="6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Прогнозные данные по годам реализации программы</w:t>
            </w:r>
          </w:p>
        </w:tc>
      </w:tr>
      <w:tr>
        <w:trPr/>
        <w:tc>
          <w:tcPr>
            <w:tcW w:w="1311" w:type="dxa"/>
            <w:vMerge w:val="continue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852" w:type="dxa"/>
            <w:vMerge w:val="continue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972" w:type="dxa"/>
            <w:vMerge w:val="continue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1220" w:type="dxa"/>
            <w:tcBorders>
              <w:bottom w:val="double" w:sz="4" w:space="0" w:color="00000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2021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1218" w:type="dxa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2022</w:t>
            </w:r>
          </w:p>
        </w:tc>
        <w:tc>
          <w:tcPr>
            <w:tcW w:w="1093" w:type="dxa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2023</w:t>
            </w:r>
          </w:p>
        </w:tc>
        <w:tc>
          <w:tcPr>
            <w:tcW w:w="1218" w:type="dxa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2024</w:t>
            </w:r>
          </w:p>
        </w:tc>
        <w:tc>
          <w:tcPr>
            <w:tcW w:w="1094" w:type="dxa"/>
            <w:tcBorders>
              <w:bottom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2025</w:t>
            </w:r>
          </w:p>
        </w:tc>
        <w:tc>
          <w:tcPr>
            <w:tcW w:w="942" w:type="dxa"/>
            <w:tcBorders>
              <w:bottom w:val="double" w:sz="4" w:space="0" w:color="00000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2026</w:t>
            </w:r>
          </w:p>
        </w:tc>
      </w:tr>
      <w:tr>
        <w:trPr/>
        <w:tc>
          <w:tcPr>
            <w:tcW w:w="1311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Въездной турпоток</w:t>
            </w:r>
          </w:p>
        </w:tc>
        <w:tc>
          <w:tcPr>
            <w:tcW w:w="852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Чел.</w:t>
            </w:r>
          </w:p>
        </w:tc>
        <w:tc>
          <w:tcPr>
            <w:tcW w:w="972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4 500</w:t>
            </w:r>
          </w:p>
        </w:tc>
        <w:tc>
          <w:tcPr>
            <w:tcW w:w="1220" w:type="dxa"/>
            <w:tcBorders>
              <w:top w:val="double" w:sz="4" w:space="0" w:color="00000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800</w:t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1218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2400</w:t>
            </w:r>
          </w:p>
        </w:tc>
        <w:tc>
          <w:tcPr>
            <w:tcW w:w="1093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2 500</w:t>
            </w:r>
          </w:p>
        </w:tc>
        <w:tc>
          <w:tcPr>
            <w:tcW w:w="1218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2 600</w:t>
            </w:r>
          </w:p>
        </w:tc>
        <w:tc>
          <w:tcPr>
            <w:tcW w:w="1094" w:type="dxa"/>
            <w:tcBorders>
              <w:top w:val="double" w:sz="4" w:space="0" w:color="000000"/>
            </w:tcBorders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2 600</w:t>
            </w:r>
          </w:p>
        </w:tc>
        <w:tc>
          <w:tcPr>
            <w:tcW w:w="942" w:type="dxa"/>
            <w:tcBorders>
              <w:top w:val="double" w:sz="4" w:space="0" w:color="000000"/>
            </w:tcBorders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2 600</w:t>
            </w:r>
          </w:p>
        </w:tc>
      </w:tr>
      <w:tr>
        <w:trPr/>
        <w:tc>
          <w:tcPr>
            <w:tcW w:w="1311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Внутренний турпоток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Чел.</w:t>
            </w:r>
          </w:p>
        </w:tc>
        <w:tc>
          <w:tcPr>
            <w:tcW w:w="97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2 100</w:t>
            </w:r>
          </w:p>
        </w:tc>
        <w:tc>
          <w:tcPr>
            <w:tcW w:w="122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5 500</w:t>
            </w:r>
          </w:p>
        </w:tc>
        <w:tc>
          <w:tcPr>
            <w:tcW w:w="121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33 000</w:t>
            </w:r>
          </w:p>
        </w:tc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6 500</w:t>
            </w:r>
          </w:p>
        </w:tc>
        <w:tc>
          <w:tcPr>
            <w:tcW w:w="121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7 000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7 000</w:t>
            </w:r>
          </w:p>
        </w:tc>
        <w:tc>
          <w:tcPr>
            <w:tcW w:w="94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7 000</w:t>
            </w:r>
          </w:p>
        </w:tc>
      </w:tr>
      <w:tr>
        <w:trPr/>
        <w:tc>
          <w:tcPr>
            <w:tcW w:w="1311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Объем предоставленных туристических услуг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Тыс.руб.</w:t>
            </w:r>
          </w:p>
        </w:tc>
        <w:tc>
          <w:tcPr>
            <w:tcW w:w="97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460</w:t>
            </w:r>
          </w:p>
        </w:tc>
        <w:tc>
          <w:tcPr>
            <w:tcW w:w="122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304,0</w:t>
            </w:r>
          </w:p>
        </w:tc>
        <w:tc>
          <w:tcPr>
            <w:tcW w:w="121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1 037,2</w:t>
            </w:r>
          </w:p>
        </w:tc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600</w:t>
            </w:r>
          </w:p>
        </w:tc>
        <w:tc>
          <w:tcPr>
            <w:tcW w:w="121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650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650</w:t>
            </w:r>
          </w:p>
        </w:tc>
        <w:tc>
          <w:tcPr>
            <w:tcW w:w="94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650</w:t>
            </w:r>
          </w:p>
        </w:tc>
      </w:tr>
      <w:tr>
        <w:trPr/>
        <w:tc>
          <w:tcPr>
            <w:tcW w:w="1311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Темп роста объема туристко-экскурсионных услуг</w:t>
            </w:r>
          </w:p>
        </w:tc>
        <w:tc>
          <w:tcPr>
            <w:tcW w:w="85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%</w:t>
            </w:r>
          </w:p>
        </w:tc>
        <w:tc>
          <w:tcPr>
            <w:tcW w:w="97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3,5</w:t>
            </w:r>
          </w:p>
        </w:tc>
        <w:tc>
          <w:tcPr>
            <w:tcW w:w="1220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66,0</w:t>
            </w:r>
          </w:p>
        </w:tc>
        <w:tc>
          <w:tcPr>
            <w:tcW w:w="121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226,0</w:t>
            </w:r>
          </w:p>
        </w:tc>
        <w:tc>
          <w:tcPr>
            <w:tcW w:w="109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130,4</w:t>
            </w:r>
          </w:p>
        </w:tc>
        <w:tc>
          <w:tcPr>
            <w:tcW w:w="121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141,3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141,3</w:t>
            </w:r>
          </w:p>
        </w:tc>
        <w:tc>
          <w:tcPr>
            <w:tcW w:w="94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141,3</w:t>
            </w:r>
          </w:p>
        </w:tc>
      </w:tr>
    </w:tbl>
    <w:p>
      <w:pPr>
        <w:pStyle w:val="Normal"/>
        <w:spacing w:lineRule="auto" w:line="24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val="ru-RU"/>
        </w:rPr>
        <w:t>2.5. таблицу 2.2 «Состояние туристической отрасли (в цифрах)» раздел 2 муниципальной программы «Сведения о планируемых значениях целевых показателей (индикаторов) муниципальной программы» изложить в новой редакции:</w:t>
      </w:r>
    </w:p>
    <w:tbl>
      <w:tblPr>
        <w:tblStyle w:val="ab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343"/>
        <w:gridCol w:w="1660"/>
        <w:gridCol w:w="1143"/>
        <w:gridCol w:w="812"/>
        <w:gridCol w:w="812"/>
        <w:gridCol w:w="787"/>
        <w:gridCol w:w="788"/>
        <w:gridCol w:w="789"/>
        <w:gridCol w:w="786"/>
      </w:tblGrid>
      <w:tr>
        <w:trPr/>
        <w:tc>
          <w:tcPr>
            <w:tcW w:w="2343" w:type="dxa"/>
            <w:vMerge w:val="restart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Наименование деятельности</w:t>
            </w:r>
          </w:p>
        </w:tc>
        <w:tc>
          <w:tcPr>
            <w:tcW w:w="1660" w:type="dxa"/>
            <w:vMerge w:val="restart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Единицы измерения</w:t>
            </w:r>
          </w:p>
        </w:tc>
        <w:tc>
          <w:tcPr>
            <w:tcW w:w="1143" w:type="dxa"/>
            <w:vMerge w:val="restart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Базовый год (2019г)</w:t>
            </w:r>
          </w:p>
        </w:tc>
        <w:tc>
          <w:tcPr>
            <w:tcW w:w="4774" w:type="dxa"/>
            <w:gridSpan w:val="6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Прогнозные данные по годам реализации программ</w:t>
            </w:r>
          </w:p>
        </w:tc>
      </w:tr>
      <w:tr>
        <w:trPr/>
        <w:tc>
          <w:tcPr>
            <w:tcW w:w="2343" w:type="dxa"/>
            <w:vMerge w:val="continue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1660" w:type="dxa"/>
            <w:vMerge w:val="continue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1143" w:type="dxa"/>
            <w:vMerge w:val="continue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</w:r>
          </w:p>
        </w:tc>
        <w:tc>
          <w:tcPr>
            <w:tcW w:w="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2021г</w:t>
            </w:r>
          </w:p>
        </w:tc>
        <w:tc>
          <w:tcPr>
            <w:tcW w:w="81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2022г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2023г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2024г</w:t>
            </w:r>
          </w:p>
        </w:tc>
        <w:tc>
          <w:tcPr>
            <w:tcW w:w="789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2025г</w:t>
            </w:r>
          </w:p>
        </w:tc>
        <w:tc>
          <w:tcPr>
            <w:tcW w:w="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b/>
                <w:kern w:val="0"/>
                <w:sz w:val="26"/>
                <w:szCs w:val="26"/>
                <w:lang w:val="ru-RU" w:bidi="ar-SA"/>
              </w:rPr>
              <w:t>2026г</w:t>
            </w:r>
          </w:p>
        </w:tc>
      </w:tr>
      <w:tr>
        <w:trPr>
          <w:trHeight w:val="733" w:hRule="atLeast"/>
        </w:trPr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Количество средств размещения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Ед. (действующие гостиницы)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3</w:t>
            </w:r>
          </w:p>
        </w:tc>
        <w:tc>
          <w:tcPr>
            <w:tcW w:w="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3</w:t>
            </w:r>
          </w:p>
        </w:tc>
        <w:tc>
          <w:tcPr>
            <w:tcW w:w="81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3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3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4</w:t>
            </w:r>
          </w:p>
        </w:tc>
        <w:tc>
          <w:tcPr>
            <w:tcW w:w="789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4</w:t>
            </w:r>
          </w:p>
        </w:tc>
        <w:tc>
          <w:tcPr>
            <w:tcW w:w="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4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В том числе количество подготовленных объектов размещения несовершеннолетних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Ед.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-</w:t>
            </w:r>
          </w:p>
        </w:tc>
        <w:tc>
          <w:tcPr>
            <w:tcW w:w="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-</w:t>
            </w:r>
          </w:p>
        </w:tc>
        <w:tc>
          <w:tcPr>
            <w:tcW w:w="81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-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-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-</w:t>
            </w:r>
          </w:p>
        </w:tc>
        <w:tc>
          <w:tcPr>
            <w:tcW w:w="789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-</w:t>
            </w:r>
          </w:p>
        </w:tc>
        <w:tc>
          <w:tcPr>
            <w:tcW w:w="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 xml:space="preserve"> </w:t>
            </w: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-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Совокупный номерной фонд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Койко-мест (действующие гостиницы)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33</w:t>
            </w:r>
          </w:p>
        </w:tc>
        <w:tc>
          <w:tcPr>
            <w:tcW w:w="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33</w:t>
            </w:r>
          </w:p>
        </w:tc>
        <w:tc>
          <w:tcPr>
            <w:tcW w:w="81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33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136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136</w:t>
            </w:r>
          </w:p>
        </w:tc>
        <w:tc>
          <w:tcPr>
            <w:tcW w:w="789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136</w:t>
            </w:r>
          </w:p>
        </w:tc>
        <w:tc>
          <w:tcPr>
            <w:tcW w:w="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136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Среднегодовая загрузка гостиниц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% (действующие гостиницы)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80</w:t>
            </w:r>
          </w:p>
        </w:tc>
        <w:tc>
          <w:tcPr>
            <w:tcW w:w="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90</w:t>
            </w:r>
          </w:p>
        </w:tc>
        <w:tc>
          <w:tcPr>
            <w:tcW w:w="81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95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100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100</w:t>
            </w:r>
          </w:p>
        </w:tc>
        <w:tc>
          <w:tcPr>
            <w:tcW w:w="789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100</w:t>
            </w:r>
          </w:p>
        </w:tc>
        <w:tc>
          <w:tcPr>
            <w:tcW w:w="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100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Численность занятых в сфере туризма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Чел.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61</w:t>
            </w:r>
          </w:p>
        </w:tc>
        <w:tc>
          <w:tcPr>
            <w:tcW w:w="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71</w:t>
            </w:r>
          </w:p>
        </w:tc>
        <w:tc>
          <w:tcPr>
            <w:tcW w:w="81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71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77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77</w:t>
            </w:r>
          </w:p>
        </w:tc>
        <w:tc>
          <w:tcPr>
            <w:tcW w:w="789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77</w:t>
            </w:r>
          </w:p>
        </w:tc>
        <w:tc>
          <w:tcPr>
            <w:tcW w:w="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77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Количество объектов показа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Ед.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15</w:t>
            </w:r>
          </w:p>
        </w:tc>
        <w:tc>
          <w:tcPr>
            <w:tcW w:w="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20</w:t>
            </w:r>
          </w:p>
        </w:tc>
        <w:tc>
          <w:tcPr>
            <w:tcW w:w="81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25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26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27</w:t>
            </w:r>
          </w:p>
        </w:tc>
        <w:tc>
          <w:tcPr>
            <w:tcW w:w="789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28</w:t>
            </w:r>
          </w:p>
        </w:tc>
        <w:tc>
          <w:tcPr>
            <w:tcW w:w="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28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Количество мероприятий туристической направленности (в т.ч. организованных экскурсий)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Ед.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20</w:t>
            </w:r>
          </w:p>
        </w:tc>
        <w:tc>
          <w:tcPr>
            <w:tcW w:w="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30</w:t>
            </w:r>
          </w:p>
        </w:tc>
        <w:tc>
          <w:tcPr>
            <w:tcW w:w="81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65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66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67</w:t>
            </w:r>
          </w:p>
        </w:tc>
        <w:tc>
          <w:tcPr>
            <w:tcW w:w="789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68</w:t>
            </w:r>
          </w:p>
        </w:tc>
        <w:tc>
          <w:tcPr>
            <w:tcW w:w="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68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Количество туристических операторов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Ед. (учреждений-турагентов)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</w:t>
            </w:r>
          </w:p>
        </w:tc>
        <w:tc>
          <w:tcPr>
            <w:tcW w:w="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3</w:t>
            </w:r>
          </w:p>
        </w:tc>
        <w:tc>
          <w:tcPr>
            <w:tcW w:w="81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0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2</w:t>
            </w:r>
          </w:p>
        </w:tc>
        <w:tc>
          <w:tcPr>
            <w:tcW w:w="789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3</w:t>
            </w:r>
          </w:p>
        </w:tc>
        <w:tc>
          <w:tcPr>
            <w:tcW w:w="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3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Количество точек общественного питания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Ед.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8</w:t>
            </w:r>
          </w:p>
        </w:tc>
        <w:tc>
          <w:tcPr>
            <w:tcW w:w="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8</w:t>
            </w:r>
          </w:p>
        </w:tc>
        <w:tc>
          <w:tcPr>
            <w:tcW w:w="81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8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9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9</w:t>
            </w:r>
          </w:p>
        </w:tc>
        <w:tc>
          <w:tcPr>
            <w:tcW w:w="789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9</w:t>
            </w:r>
          </w:p>
        </w:tc>
        <w:tc>
          <w:tcPr>
            <w:tcW w:w="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9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Количество туристических маршрутов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Ед.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6</w:t>
            </w:r>
          </w:p>
        </w:tc>
        <w:tc>
          <w:tcPr>
            <w:tcW w:w="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8</w:t>
            </w:r>
          </w:p>
        </w:tc>
        <w:tc>
          <w:tcPr>
            <w:tcW w:w="81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9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10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11</w:t>
            </w:r>
          </w:p>
        </w:tc>
        <w:tc>
          <w:tcPr>
            <w:tcW w:w="789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12</w:t>
            </w:r>
          </w:p>
        </w:tc>
        <w:tc>
          <w:tcPr>
            <w:tcW w:w="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12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В том числе туристических маршрутов для несовершеннолетних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Ед.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6</w:t>
            </w:r>
          </w:p>
        </w:tc>
        <w:tc>
          <w:tcPr>
            <w:tcW w:w="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8</w:t>
            </w:r>
          </w:p>
        </w:tc>
        <w:tc>
          <w:tcPr>
            <w:tcW w:w="81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8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9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9</w:t>
            </w:r>
          </w:p>
        </w:tc>
        <w:tc>
          <w:tcPr>
            <w:tcW w:w="789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9</w:t>
            </w:r>
          </w:p>
        </w:tc>
        <w:tc>
          <w:tcPr>
            <w:tcW w:w="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9</w:t>
            </w:r>
          </w:p>
        </w:tc>
      </w:tr>
      <w:tr>
        <w:trPr/>
        <w:tc>
          <w:tcPr>
            <w:tcW w:w="23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Количество туристко-информационных стендов для размещения информации о туристических объектах</w:t>
            </w:r>
          </w:p>
        </w:tc>
        <w:tc>
          <w:tcPr>
            <w:tcW w:w="1660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Ед.</w:t>
            </w:r>
          </w:p>
        </w:tc>
        <w:tc>
          <w:tcPr>
            <w:tcW w:w="1143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10</w:t>
            </w:r>
          </w:p>
        </w:tc>
        <w:tc>
          <w:tcPr>
            <w:tcW w:w="812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14</w:t>
            </w:r>
          </w:p>
        </w:tc>
        <w:tc>
          <w:tcPr>
            <w:tcW w:w="812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34</w:t>
            </w:r>
          </w:p>
        </w:tc>
        <w:tc>
          <w:tcPr>
            <w:tcW w:w="787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40</w:t>
            </w:r>
          </w:p>
        </w:tc>
        <w:tc>
          <w:tcPr>
            <w:tcW w:w="788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44</w:t>
            </w:r>
          </w:p>
        </w:tc>
        <w:tc>
          <w:tcPr>
            <w:tcW w:w="789" w:type="dxa"/>
            <w:tcBorders/>
            <w:vAlign w:val="center"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48</w:t>
            </w:r>
          </w:p>
        </w:tc>
        <w:tc>
          <w:tcPr>
            <w:tcW w:w="786" w:type="dxa"/>
            <w:tcBorders/>
          </w:tcPr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left"/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</w:r>
          </w:p>
          <w:p>
            <w:pPr>
              <w:pStyle w:val="ListParagraph"/>
              <w:widowControl/>
              <w:suppressAutoHyphens w:val="true"/>
              <w:spacing w:lineRule="auto" w:line="240" w:before="0" w:after="0"/>
              <w:ind w:left="0"/>
              <w:jc w:val="center"/>
              <w:rPr>
                <w:rFonts w:ascii="PT Astra Serif" w:hAnsi="PT Astra Serif"/>
                <w:kern w:val="0"/>
                <w:sz w:val="26"/>
                <w:szCs w:val="26"/>
                <w:lang w:bidi="ar-SA"/>
              </w:rPr>
            </w:pPr>
            <w:r>
              <w:rPr>
                <w:rFonts w:ascii="PT Astra Serif" w:hAnsi="PT Astra Serif"/>
                <w:kern w:val="0"/>
                <w:sz w:val="26"/>
                <w:szCs w:val="26"/>
                <w:lang w:val="ru-RU" w:bidi="ar-SA"/>
              </w:rPr>
              <w:t>48</w:t>
            </w:r>
          </w:p>
        </w:tc>
      </w:tr>
    </w:tbl>
    <w:p>
      <w:pPr>
        <w:pStyle w:val="ListParagraph"/>
        <w:spacing w:lineRule="auto" w:line="240" w:before="0" w:after="0"/>
        <w:ind w:firstLine="709" w:left="0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val="ru-RU"/>
        </w:rPr>
        <w:t>2.6. раздел 4 муниципальной программы «Перечень программных мероприятий»  изложить в следующей редакции:</w:t>
      </w:r>
    </w:p>
    <w:p>
      <w:pPr>
        <w:sectPr>
          <w:type w:val="nextPage"/>
          <w:pgSz w:w="11906" w:h="16838"/>
          <w:pgMar w:left="1134" w:right="851" w:gutter="0" w:header="0" w:top="567" w:footer="0" w:bottom="709"/>
          <w:pgNumType w:fmt="decimal"/>
          <w:formProt w:val="false"/>
          <w:textDirection w:val="lrTb"/>
          <w:docGrid w:type="default" w:linePitch="360" w:charSpace="0"/>
        </w:sectPr>
        <w:pStyle w:val="ListParagraph"/>
        <w:spacing w:lineRule="auto" w:line="240" w:before="0" w:after="0"/>
        <w:ind w:firstLine="709" w:left="0"/>
        <w:jc w:val="both"/>
        <w:rPr>
          <w:rFonts w:ascii="PT Astra Serif" w:hAnsi="PT Astra Serif"/>
          <w:sz w:val="26"/>
          <w:szCs w:val="26"/>
          <w:lang w:val="ru-RU"/>
        </w:rPr>
      </w:pPr>
      <w:r>
        <w:rPr>
          <w:rFonts w:ascii="PT Astra Serif" w:hAnsi="PT Astra Serif"/>
          <w:sz w:val="26"/>
          <w:szCs w:val="26"/>
          <w:lang w:val="ru-RU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409"/>
        <w:gridCol w:w="1476"/>
        <w:gridCol w:w="1877"/>
        <w:gridCol w:w="883"/>
        <w:gridCol w:w="1183"/>
        <w:gridCol w:w="645"/>
        <w:gridCol w:w="1182"/>
        <w:gridCol w:w="1122"/>
        <w:gridCol w:w="973"/>
        <w:gridCol w:w="1065"/>
        <w:gridCol w:w="900"/>
        <w:gridCol w:w="901"/>
        <w:gridCol w:w="907"/>
        <w:gridCol w:w="1754"/>
      </w:tblGrid>
      <w:tr>
        <w:trPr>
          <w:trHeight w:val="836" w:hRule="atLeast"/>
          <w:cantSplit w:val="true"/>
        </w:trPr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 xml:space="preserve">N </w:t>
              <w:br/>
              <w:t>п/п</w:t>
            </w:r>
          </w:p>
        </w:tc>
        <w:tc>
          <w:tcPr>
            <w:tcW w:w="1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 xml:space="preserve">Наименование   </w:t>
              <w:br/>
              <w:t>мероприятия</w:t>
            </w:r>
          </w:p>
        </w:tc>
        <w:tc>
          <w:tcPr>
            <w:tcW w:w="1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 xml:space="preserve">Содержание     </w:t>
              <w:br/>
              <w:t>мероприятия</w:t>
            </w:r>
          </w:p>
        </w:tc>
        <w:tc>
          <w:tcPr>
            <w:tcW w:w="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 xml:space="preserve">Сроки </w:t>
              <w:br/>
              <w:t>выполнения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Исполнители</w:t>
            </w:r>
          </w:p>
        </w:tc>
        <w:tc>
          <w:tcPr>
            <w:tcW w:w="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Источники</w:t>
              <w:br/>
              <w:t>финансирования</w:t>
            </w:r>
          </w:p>
        </w:tc>
        <w:tc>
          <w:tcPr>
            <w:tcW w:w="70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Объем финансирования</w:t>
              <w:br/>
              <w:t>(тыс. руб.)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 xml:space="preserve">Ожидаемые </w:t>
              <w:br/>
              <w:t>результаты</w:t>
            </w:r>
          </w:p>
        </w:tc>
      </w:tr>
      <w:tr>
        <w:trPr>
          <w:trHeight w:val="1133" w:hRule="atLeast"/>
          <w:cantSplit w:val="true"/>
        </w:trPr>
        <w:tc>
          <w:tcPr>
            <w:tcW w:w="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8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88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18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64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2021 год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2022 год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2023 год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2024</w:t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год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2025</w:t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год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2026 год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всего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>
          <w:trHeight w:val="295" w:hRule="atLeast"/>
          <w:cantSplit w:val="true"/>
        </w:trPr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3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4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6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7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8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9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11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12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13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14</w:t>
            </w:r>
          </w:p>
        </w:tc>
      </w:tr>
      <w:tr>
        <w:trPr>
          <w:trHeight w:val="711" w:hRule="atLeast"/>
          <w:cantSplit w:val="true"/>
        </w:trPr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1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Развитие инфраструктуры и предпринимательства в сфере туризма</w:t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1. Участие субъектов малого и среднего бизнеса в выставках, ярмарках (поощрение за активное участие в жизни округа)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2021-2026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Отдел экономики</w:t>
            </w:r>
          </w:p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30,0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40,0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40,0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40,0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150,0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Создание новых рабочих мест. Увеличение налоговых поступлений за счет повышения доходов субъектов малого предпринимательства</w:t>
            </w:r>
          </w:p>
        </w:tc>
      </w:tr>
      <w:tr>
        <w:trPr>
          <w:trHeight w:val="2536" w:hRule="atLeast"/>
          <w:cantSplit w:val="true"/>
        </w:trPr>
        <w:tc>
          <w:tcPr>
            <w:tcW w:w="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2.Информационная поддержка субъектов малого и среднего бизнеса (сюжеты, статьи, баннеры)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2021-2026</w:t>
            </w:r>
          </w:p>
        </w:tc>
        <w:tc>
          <w:tcPr>
            <w:tcW w:w="118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20,0</w:t>
            </w:r>
          </w:p>
        </w:tc>
        <w:tc>
          <w:tcPr>
            <w:tcW w:w="17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>
          <w:trHeight w:val="711" w:hRule="atLeast"/>
          <w:cantSplit w:val="true"/>
        </w:trPr>
        <w:tc>
          <w:tcPr>
            <w:tcW w:w="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3. Разработка проекта развития инфраструктуры на территории Шестаковского комплекса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2021-2026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Администрация округа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7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>
          <w:trHeight w:val="711" w:hRule="atLeast"/>
          <w:cantSplit w:val="true"/>
        </w:trPr>
        <w:tc>
          <w:tcPr>
            <w:tcW w:w="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4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Развитие познавательного, событийного и  сельского туризма</w:t>
            </w:r>
          </w:p>
        </w:tc>
        <w:tc>
          <w:tcPr>
            <w:tcW w:w="1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1. Развитие действующих туристических маршрутов: «Восьмое чудо Кузбасса», «Чумай – село старинное», велотур «Дорогой динозавров»</w:t>
            </w:r>
          </w:p>
        </w:tc>
        <w:tc>
          <w:tcPr>
            <w:tcW w:w="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2021-2026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МБУК «ЧКМ»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10,0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130,0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Формирование имиджа Чебулинского муниципального округа как центра развития познавательного и сельского туризма, увеличение туристического потока</w:t>
            </w:r>
          </w:p>
        </w:tc>
      </w:tr>
      <w:tr>
        <w:trPr>
          <w:trHeight w:val="711" w:hRule="atLeast"/>
          <w:cantSplit w:val="true"/>
        </w:trPr>
        <w:tc>
          <w:tcPr>
            <w:tcW w:w="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8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88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18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ВБ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cs="Times New Roman" w:ascii="PT Astra Serif" w:hAnsi="PT Astra Serif"/>
                <w:b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7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>
          <w:trHeight w:val="711" w:hRule="atLeast"/>
          <w:cantSplit w:val="true"/>
        </w:trPr>
        <w:tc>
          <w:tcPr>
            <w:tcW w:w="4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2. Продвижение событийного тура «В гостях у динозавра» в д. Шестаково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2023-2026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МБУК «ЧКМ»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10,0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130,0</w:t>
            </w:r>
          </w:p>
        </w:tc>
        <w:tc>
          <w:tcPr>
            <w:tcW w:w="17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>
          <w:trHeight w:val="3036" w:hRule="atLeast"/>
          <w:cantSplit w:val="true"/>
        </w:trPr>
        <w:tc>
          <w:tcPr>
            <w:tcW w:w="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3. Развитие новых туристических маршрутов в селах округа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2021-2025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МБУК «Верх-Чебулинский КДЦ»</w:t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МБУК «ЧМЦБ»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ВБ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Финансовая поддержка новых социально-значимых проектов в сфере туризма, создание новых туристических маршрутов в селах округа</w:t>
            </w:r>
          </w:p>
        </w:tc>
      </w:tr>
      <w:tr>
        <w:trPr>
          <w:trHeight w:val="2124" w:hRule="atLeast"/>
          <w:cantSplit w:val="true"/>
        </w:trPr>
        <w:tc>
          <w:tcPr>
            <w:tcW w:w="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4. Создание музейной экспозиции «Мордовская изба»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2023-2026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МБУК «ЧКМ»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100,0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115,0</w:t>
            </w:r>
          </w:p>
        </w:tc>
        <w:tc>
          <w:tcPr>
            <w:tcW w:w="17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Формирование и продвижение туристического бренда округа, популяризация объектов культурного наследия округа (д. Шестаково, с. Чумай)</w:t>
            </w:r>
          </w:p>
        </w:tc>
      </w:tr>
      <w:tr>
        <w:trPr>
          <w:trHeight w:val="711" w:hRule="atLeast"/>
          <w:cantSplit w:val="true"/>
        </w:trPr>
        <w:tc>
          <w:tcPr>
            <w:tcW w:w="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5. Проведение международного эко научно-популярного фестиваля «Динотерра»</w:t>
            </w:r>
          </w:p>
        </w:tc>
        <w:tc>
          <w:tcPr>
            <w:tcW w:w="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2021-2026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Управление культуры, отдел экономики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ОБ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7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>
          <w:trHeight w:val="711" w:hRule="atLeast"/>
          <w:cantSplit w:val="true"/>
        </w:trPr>
        <w:tc>
          <w:tcPr>
            <w:tcW w:w="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8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88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18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1 298,8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15 878,2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12 316,8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20,0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29 553,8</w:t>
            </w:r>
          </w:p>
        </w:tc>
        <w:tc>
          <w:tcPr>
            <w:tcW w:w="17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>
          <w:trHeight w:val="711" w:hRule="atLeast"/>
          <w:cantSplit w:val="true"/>
        </w:trPr>
        <w:tc>
          <w:tcPr>
            <w:tcW w:w="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6. Разработка и внедрение нового летнего туристического проекта «Выходные на родине динозавров»</w:t>
            </w:r>
          </w:p>
        </w:tc>
        <w:tc>
          <w:tcPr>
            <w:tcW w:w="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2021-2026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МБУК «Верх-Чебулинский КДЦ»</w:t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30,0</w:t>
            </w:r>
          </w:p>
        </w:tc>
        <w:tc>
          <w:tcPr>
            <w:tcW w:w="17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>
          <w:trHeight w:val="711" w:hRule="atLeast"/>
          <w:cantSplit w:val="true"/>
        </w:trPr>
        <w:tc>
          <w:tcPr>
            <w:tcW w:w="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8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88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18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ВБ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7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>
          <w:trHeight w:val="711" w:hRule="atLeast"/>
          <w:cantSplit w:val="true"/>
        </w:trPr>
        <w:tc>
          <w:tcPr>
            <w:tcW w:w="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8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7. Популяризация и организация работы познавательно-развлекательного тура для школьников «Миллионы лет тому назад»</w:t>
            </w:r>
          </w:p>
        </w:tc>
        <w:tc>
          <w:tcPr>
            <w:tcW w:w="8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2021-2026</w:t>
            </w:r>
          </w:p>
        </w:tc>
        <w:tc>
          <w:tcPr>
            <w:tcW w:w="11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МБУК «ЧМЦБ»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ВБ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7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>
          <w:trHeight w:val="1437" w:hRule="atLeast"/>
          <w:cantSplit w:val="true"/>
        </w:trPr>
        <w:tc>
          <w:tcPr>
            <w:tcW w:w="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87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88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18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10,0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30,0</w:t>
            </w:r>
          </w:p>
        </w:tc>
        <w:tc>
          <w:tcPr>
            <w:tcW w:w="17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  <w:tr>
        <w:trPr>
          <w:trHeight w:val="1437" w:hRule="atLeast"/>
          <w:cantSplit w:val="true"/>
        </w:trPr>
        <w:tc>
          <w:tcPr>
            <w:tcW w:w="409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4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  <w:tc>
          <w:tcPr>
            <w:tcW w:w="1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8. Приобретение и оснащение оборудованием Шестаковского историко-культурного комплекса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2021-2026</w:t>
            </w:r>
          </w:p>
        </w:tc>
        <w:tc>
          <w:tcPr>
            <w:tcW w:w="1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МБУК «ЧКМ»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МБ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5 200,0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0,0</w:t>
            </w:r>
          </w:p>
        </w:tc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  <w:t>5 200,0</w:t>
            </w:r>
          </w:p>
        </w:tc>
        <w:tc>
          <w:tcPr>
            <w:tcW w:w="1754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sPlusCell"/>
              <w:widowControl/>
              <w:spacing w:lineRule="auto" w:line="240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cs="Times New Roman" w:ascii="PT Astra Serif" w:hAnsi="PT Astra Serif"/>
                <w:sz w:val="26"/>
                <w:szCs w:val="26"/>
              </w:rPr>
            </w:r>
          </w:p>
        </w:tc>
      </w:tr>
    </w:tbl>
    <w:p>
      <w:pPr>
        <w:pStyle w:val="Normal"/>
        <w:overflowPunct w:val="false"/>
        <w:spacing w:lineRule="auto" w:line="240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sectPr>
          <w:type w:val="nextPage"/>
          <w:pgSz w:orient="landscape" w:w="16838" w:h="11906"/>
          <w:pgMar w:left="993" w:right="567" w:gutter="0" w:header="0" w:top="1134" w:footer="0" w:bottom="851"/>
          <w:pgNumType w:fmt="decimal"/>
          <w:formProt w:val="false"/>
          <w:textDirection w:val="lrTb"/>
          <w:docGrid w:type="default" w:linePitch="360" w:charSpace="0"/>
        </w:sectPr>
        <w:pStyle w:val="Normal"/>
        <w:overflowPunct w:val="false"/>
        <w:spacing w:lineRule="auto" w:line="240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ListParagraph"/>
        <w:spacing w:lineRule="auto" w:line="240" w:before="0" w:after="0"/>
        <w:ind w:firstLine="709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  <w:lang w:val="ru-RU"/>
        </w:rPr>
        <w:t>2.7. Раздел 6 муниципальной программы «Ресурсное обеспечение программы» изложить в следующей редакции:</w:t>
      </w:r>
    </w:p>
    <w:p>
      <w:pPr>
        <w:pStyle w:val="Normal"/>
        <w:spacing w:lineRule="auto" w:line="240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Объемы финансирования мероприятий программы подлежат ежегодному уточнению при принятии законов о бюджете соответствующего уровня на соответствующий финансовый год и на плановый период.</w:t>
      </w:r>
    </w:p>
    <w:p>
      <w:pPr>
        <w:pStyle w:val="Normal"/>
        <w:overflowPunct w:val="false"/>
        <w:spacing w:lineRule="auto" w:line="240"/>
        <w:ind w:firstLine="709"/>
        <w:jc w:val="both"/>
        <w:textAlignment w:val="baseline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3. Признать утратившим силу постановление администрации Чебулинского муниципального округа от 02.10.2023 №514-п «</w:t>
      </w:r>
      <w:r>
        <w:rPr>
          <w:rFonts w:cs="Times New Roman" w:ascii="PT Astra Serif" w:hAnsi="PT Astra Serif"/>
          <w:sz w:val="26"/>
          <w:szCs w:val="26"/>
        </w:rPr>
        <w:t>О внесении изменений в постановление администрации Чебулинского   муниципального округа от 07.10.2020г  № 551-п «Об утверждении муниципальной программы «Развитие внутреннего и въездного туризма в Чебулинском муниципальном округе» на 2021-2025 годы».</w:t>
      </w:r>
    </w:p>
    <w:p>
      <w:pPr>
        <w:pStyle w:val="Normal"/>
        <w:widowControl/>
        <w:spacing w:lineRule="auto" w:line="240"/>
        <w:ind w:firstLine="708" w:right="0"/>
        <w:jc w:val="both"/>
        <w:rPr>
          <w:rFonts w:ascii="PT Astra Serif" w:hAnsi="PT Astra Serif"/>
          <w:sz w:val="26"/>
          <w:szCs w:val="26"/>
        </w:rPr>
      </w:pPr>
      <w:r>
        <w:rPr>
          <w:rFonts w:cs="PT Astra Serif" w:ascii="PT Astra Serif" w:hAnsi="PT Astra Serif"/>
          <w:b w:val="false"/>
          <w:bCs w:val="false"/>
          <w:color w:val="000000"/>
          <w:sz w:val="26"/>
          <w:szCs w:val="26"/>
          <w:lang w:val="ru-RU"/>
        </w:rPr>
        <w:t xml:space="preserve">4. Заведующему сектором информационных технологий (Д.В. Поддубный) обеспечить размещение настоящего постановления 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z w:val="26"/>
          <w:szCs w:val="26"/>
          <w:u w:val="none"/>
          <w:lang w:val="ru-RU"/>
        </w:rPr>
        <w:t xml:space="preserve"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г.).». </w:t>
      </w:r>
    </w:p>
    <w:p>
      <w:pPr>
        <w:pStyle w:val="Normal"/>
        <w:widowControl/>
        <w:spacing w:lineRule="auto" w:line="240"/>
        <w:ind w:firstLine="708" w:right="0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PT Astra Serif" w:ascii="PT Astra Serif" w:hAnsi="PT Astra Serif"/>
          <w:b w:val="false"/>
          <w:bCs w:val="false"/>
          <w:color w:val="000000"/>
          <w:sz w:val="26"/>
          <w:szCs w:val="26"/>
          <w:lang w:val="ru-RU" w:eastAsia="ar-SA"/>
        </w:rPr>
        <w:t xml:space="preserve">5. Настоящее постановление вступает в силу после его официального опубликования </w:t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z w:val="26"/>
          <w:szCs w:val="26"/>
          <w:u w:val="none"/>
          <w:lang w:val="ru-RU" w:eastAsia="ar-SA"/>
        </w:rPr>
        <w:t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</w:t>
      </w:r>
      <w:r>
        <w:rPr>
          <w:rFonts w:eastAsia="Times New Roman" w:cs="PT Astra Serif" w:ascii="PT Astra Serif" w:hAnsi="PT Astra Serif"/>
          <w:b w:val="false"/>
          <w:bCs w:val="false"/>
          <w:color w:val="000000"/>
          <w:sz w:val="26"/>
          <w:szCs w:val="26"/>
          <w:lang w:val="ru-RU" w:eastAsia="ar-SA"/>
        </w:rPr>
        <w:t>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6. Контроль за исполнением настоящего постановления возложить на заместителя главы округа по социальным вопросам И.А. Данильченко.</w:t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ConsPlusNormal"/>
        <w:widowControl/>
        <w:spacing w:lineRule="auto" w:line="24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ConsPlusNormal"/>
        <w:widowControl/>
        <w:spacing w:lineRule="auto" w:line="240"/>
        <w:ind w:hanging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Чебулинского</w:t>
      </w:r>
    </w:p>
    <w:p>
      <w:pPr>
        <w:pStyle w:val="ConsPlusNormal"/>
        <w:widowControl/>
        <w:spacing w:lineRule="auto" w:line="240"/>
        <w:ind w:hanging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муниципального округа                                                                                      Н.А. Воронина</w:t>
      </w:r>
    </w:p>
    <w:sectPr>
      <w:type w:val="nextPage"/>
      <w:pgSz w:w="11906" w:h="16838"/>
      <w:pgMar w:left="851" w:right="1134" w:gutter="0" w:header="0" w:top="992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Journ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f4b7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375973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qFormat/>
    <w:rsid w:val="008f4b7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qFormat/>
    <w:rsid w:val="008f4b74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8f4b74"/>
    <w:rPr>
      <w:rFonts w:ascii="Tahoma" w:hAnsi="Tahoma" w:eastAsia="Times New Roman" w:cs="Tahoma"/>
      <w:sz w:val="16"/>
      <w:szCs w:val="16"/>
      <w:lang w:eastAsia="ru-RU"/>
    </w:rPr>
  </w:style>
  <w:style w:type="character" w:styleId="Style13" w:customStyle="1">
    <w:name w:val="Верхний колонтитул Знак"/>
    <w:basedOn w:val="DefaultParagraphFont"/>
    <w:uiPriority w:val="99"/>
    <w:semiHidden/>
    <w:qFormat/>
    <w:rsid w:val="00ac144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ac144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4" w:customStyle="1">
    <w:name w:val="Заголовок 4 Знак"/>
    <w:basedOn w:val="DefaultParagraphFont"/>
    <w:qFormat/>
    <w:rsid w:val="00375973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Title" w:customStyle="1">
    <w:name w:val="ConsPlusTitle"/>
    <w:qFormat/>
    <w:rsid w:val="008f4b74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" w:customStyle="1">
    <w:name w:val="Обычный1"/>
    <w:qFormat/>
    <w:rsid w:val="008f4b74"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Journal" w:hAnsi="Journ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8f4b74"/>
    <w:pPr>
      <w:spacing w:lineRule="auto" w:line="276" w:before="0" w:after="200"/>
      <w:ind w:left="708"/>
    </w:pPr>
    <w:rPr>
      <w:rFonts w:ascii="Calibri" w:hAnsi="Calibri"/>
      <w:sz w:val="22"/>
      <w:szCs w:val="22"/>
      <w:lang w:val="en-GB" w:eastAsia="en-US"/>
    </w:rPr>
  </w:style>
  <w:style w:type="paragraph" w:styleId="ConsPlusNormal" w:customStyle="1">
    <w:name w:val="ConsPlusNormal"/>
    <w:qFormat/>
    <w:rsid w:val="008f4b74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8f4b74"/>
    <w:pPr/>
    <w:rPr>
      <w:rFonts w:ascii="Tahoma" w:hAnsi="Tahoma" w:cs="Tahoma"/>
      <w:sz w:val="16"/>
      <w:szCs w:val="16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semiHidden/>
    <w:unhideWhenUsed/>
    <w:rsid w:val="00ac144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iPriority w:val="99"/>
    <w:semiHidden/>
    <w:unhideWhenUsed/>
    <w:rsid w:val="00ac144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c7601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Cell" w:customStyle="1">
    <w:name w:val="ConsPlusCell"/>
    <w:qFormat/>
    <w:rsid w:val="00477912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0c3fc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7BEC5-2962-4F73-B82F-BE79C83FA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Application>LibreOffice/7.6.7.2$Linux_X86_64 LibreOffice_project/60$Build-2</Application>
  <AppVersion>15.0000</AppVersion>
  <Pages>9</Pages>
  <Words>1343</Words>
  <Characters>8312</Characters>
  <CharactersWithSpaces>9481</CharactersWithSpaces>
  <Paragraphs>421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2021-09-07T09:51:00Z</dcterms:created>
  <dc:creator>Наталья</dc:creator>
  <dc:description/>
  <dc:language>ru-RU</dc:language>
  <cp:lastModifiedBy/>
  <cp:lastPrinted>2023-09-18T03:01:00Z</cp:lastPrinted>
  <dcterms:modified xsi:type="dcterms:W3CDTF">2025-11-20T15:52:00Z</dcterms:modified>
  <cp:revision>95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