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rawings/_rels/drawing4.xml.rels" ContentType="application/vnd.openxmlformats-package.relationships+xml"/>
  <Override PartName="/word/drawings/drawing4.xml" ContentType="application/vnd.openxmlformats-officedocument.drawingml.chartshapes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charts/_rels/chart3.xml.rels" ContentType="application/vnd.openxmlformats-package.relationship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embeddings/_____Microsoft_Office_Excel2.xlsx" ContentType="application/vnd.openxmlformats-officedocument.spreadsheetml.sheet"/>
  <Override PartName="/word/embeddings/_____Microsoft_Office_Excel3.xlsx" ContentType="application/vnd.openxmlformats-officedocument.spreadsheetml.sheet"/>
  <Override PartName="/word/embeddings/_____Microsoft_Office_Excel1.xlsx" ContentType="application/vnd.openxmlformats-officedocument.spreadsheetml.sheet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Чебулинский муниципальный округ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Кемеровская область-Кузбасс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Сводный отчет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об оценке налоговых расходов 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Чебулинского муниципального образования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за </w:t>
      </w:r>
      <w:r>
        <w:rPr>
          <w:rFonts w:cs="Times New Roman" w:ascii="Times New Roman" w:hAnsi="Times New Roman"/>
          <w:b/>
          <w:sz w:val="32"/>
          <w:szCs w:val="32"/>
          <w:u w:val="single"/>
        </w:rPr>
        <w:t>2023</w:t>
      </w:r>
      <w:r>
        <w:rPr>
          <w:rFonts w:cs="Times New Roman" w:ascii="Times New Roman" w:hAnsi="Times New Roman"/>
          <w:b/>
          <w:sz w:val="32"/>
          <w:szCs w:val="32"/>
        </w:rPr>
        <w:t xml:space="preserve"> год 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2024 год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ОГЛАВЛЕНИЕ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 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ind w:hanging="426"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Общая характеристика налоговых расходов в 2023 году……….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Распределение налоговых расходов по муниципальным программам и непрограммным направлениям Чебулинского муниципального округа……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Распределение налоговых расходов по кураторам налоговых расходов Чебулинского муниципального округа……………………………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 востребованности налоговых льгот………………..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оценки налоговых расходов ………………….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Выводы и решения по результатам оценки налоговых расходов…..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Прогноз налоговых расходов…………………………………………..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используемых сокращений и аббревиатур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Постановление № 796 – постановление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Постановление № 773 – постановление Правительства Кемеровской области – Кузбасса от 30.12.2019 № 773 «Об утверждении Положения о формировании перечня налоговых расходов Кемеровской области-Кузбасса и оценке налоговых расходов Кемеровской области-Кузбасса».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Постановление 532-п – постановление Администрации Чебулинского муниципального округа от 06.10.2020 № 532-п «Об утверждении Порядка формирования перечня налоговых расходов и оценки эффективности налоговых расходов Чебулинского муниципального округа» (с изменениями и дополнениями).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Постановление 728-п – постановление Администрации Чебулинского муниципального округа от 03.11.2022 № 728- п «Об утверждении перечня налоговых расходов Чебулинского муниципального округа».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Решение СНД № 130 – Решение Совета народных депутатов Чебулинского муниципального округа от 24.11.2020 № 130 «Об установлении земельного налога на территории Чебулинского муниципального округа»(с изменениями и дополнениями).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Решение СНД № 131 – Решение Совета народных депутатов Чебулинского муниципального округа от 24.11.2020 № 131 «Об установлении налога на имущество физических лиц на территории Чебулинского муниципального округа»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В настоящем отчете приведены сводные результаты оценки налоговых расходов Чебулинского муниципального округа за 2023 год.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В соответствии со ст. 6  Бюджетного кодекса Российской Федерации налоговые расходы публично-правового образования – это выпадающие доходы бюджетов бюджетной системы Российской Федерации, обусловленные  налоговыми льготами, освобождениями и иными преференциями по налогам, сборам, таможенным платежам, страховым взносам на обязательное социальное страхование, предусмотренными в качестве мер государственной (муниципальной) поддержки в соответствии с целями государственных (муниципальных) программ и (или) целям социально-экономической политики публично-правового образования, не относящимся к государственным (муниципальным) программам.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 настоящем отчете приведены сведения о налоговых расходах бюджета Чебулинского муниципального округа, обусловленных налоговыми льготами, освобождениями и иными преференциями по налогам, установленными решениями Совета народных депутатов Чебулинского муниципального округа действовавшими в 2023 году.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Оценка налоговых расходов проводилась в соответствии с требованиями следующих нормативно-правовых актов: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 Постановление № 796;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 Постановление № 773;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 Постановление № 532-п.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Оценка проводилась 07.08.2024 года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Оценку налоговых расходов проводил начальник отдела экономики Администрации Чебулинского муниципального округа.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Сведения о выпадающих доходах бюджета Чебулинского муниципального округа в 2024 году приведены на основании данных Межрайонной инспекции Федеральной налоговой службы № 9 по Кемеровской области-Кузбассу по состоянию на 02.08.2024 (письмо от 28.06.2024 № 12-18/07853, </w:t>
      </w:r>
      <w:r>
        <w:rPr>
          <w:rFonts w:cs="Times New Roman" w:ascii="Times New Roman" w:hAnsi="Times New Roman"/>
          <w:color w:val="000000"/>
          <w:sz w:val="28"/>
          <w:szCs w:val="28"/>
        </w:rPr>
        <w:t>от 02.08.2024 №</w:t>
      </w:r>
      <w:r>
        <w:rPr>
          <w:rFonts w:cs="Times New Roman" w:ascii="Times New Roman" w:hAnsi="Times New Roman"/>
          <w:sz w:val="28"/>
          <w:szCs w:val="28"/>
        </w:rPr>
        <w:t xml:space="preserve"> 07-24/111, от 02.08.2024 № 07-24/112). Настоящий отчет ссылается на решение СНД (от 24.11.2020 № 130 «Об установлении земельного налога на территории Чебулинского муниципального округа» (в редакции решений), от 24.11.2020 № 131 «Об установлении налога на имущество физических лиц на территории Чебулинского муниципального округа»), устанавливающие налоговые льготы, освобождения по налогу, пониженные налоговые ставки, а также на Стратегию социально-экономического развития Чебулинского муниципального района до 2035 года, утвержденную Решением Совета народных депутатов Чебулинского муниципального округа от 01.10.2018 № 173, действовавших на 31.12.2023г.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Земельный налог установлен Решением СНД № 130 (с изменениями и дополнениями).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Налог на имущество физических лиц установлен Решением СНД № 131.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Проведение   оценки налоговых расходов Чебулинского муниципального округа позволит решить следующие задачи: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прозрачности бюджетной и налоговой политики;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полного представления об использовании бюджетных ресурсов в разрезе целей муниципальной политики;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эффективности мер налоговой политики за счет решений, принятых по результатам оценки налоговых расходов.</w:t>
      </w:r>
    </w:p>
    <w:p>
      <w:pPr>
        <w:pStyle w:val="ListParagraph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Краткое описание методики оценки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32"/>
          <w:szCs w:val="32"/>
        </w:rPr>
        <w:tab/>
      </w:r>
      <w:r>
        <w:rPr>
          <w:rFonts w:cs="Times New Roman" w:ascii="Times New Roman" w:hAnsi="Times New Roman"/>
          <w:sz w:val="28"/>
          <w:szCs w:val="28"/>
        </w:rPr>
        <w:t>Методика оценки налоговых расходов установлена Постановлением № 532-п. Процесс оценки состоит из следующих этапов:</w:t>
      </w:r>
    </w:p>
    <w:p>
      <w:pPr>
        <w:pStyle w:val="ListParagraph"/>
        <w:numPr>
          <w:ilvl w:val="0"/>
          <w:numId w:val="3"/>
        </w:numPr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Распределение налоговых расходов по непрограммным направлениям социально-экономической политики округа. </w:t>
      </w:r>
    </w:p>
    <w:p>
      <w:pPr>
        <w:pStyle w:val="ListParagraph"/>
        <w:numPr>
          <w:ilvl w:val="0"/>
          <w:numId w:val="3"/>
        </w:numPr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Формирование перечня налоговых расходов Чебулинского муниципального округа (ответственный - отдел экономики Администрации Чебулинского муниципального округа): </w:t>
      </w:r>
      <w:r>
        <w:rPr>
          <w:rFonts w:cs="Times New Roman" w:ascii="Times New Roman" w:hAnsi="Times New Roman"/>
          <w:color w:val="000000"/>
          <w:sz w:val="28"/>
          <w:szCs w:val="28"/>
        </w:rPr>
        <w:t>Постановлением Администрации Чебулинского муниципального округа от 09.11.2023 № 606-п утвержден перечень налоговых расходов Чебулинского муниципального округа на 2023 год.</w:t>
      </w:r>
    </w:p>
    <w:p>
      <w:pPr>
        <w:pStyle w:val="ListParagraph"/>
        <w:numPr>
          <w:ilvl w:val="0"/>
          <w:numId w:val="3"/>
        </w:numPr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Направление в Межрайонную инспекцию ФНС России по Кемеровской области сведений о категориях плательщиков, с указанием  обусловливающих соответствующие налоговые расходы Чебулинского муниципального округа нормативных правовых актов Чебулинского муниципального округа, в том числе действовавших в отчетном году и в году, предшествующем отчетному году, и иной информацией (ответственный - отдел экономики Администрации Чебулинского муниципального округа): письмо Администрации Чебулинского муниципального округа от 18.01.2024 № 07-24/9.</w:t>
      </w:r>
    </w:p>
    <w:p>
      <w:pPr>
        <w:pStyle w:val="ListParagraph"/>
        <w:numPr>
          <w:ilvl w:val="0"/>
          <w:numId w:val="3"/>
        </w:numPr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Доведение информации о налоговых расходах: </w:t>
      </w:r>
    </w:p>
    <w:p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сведения о количестве плательщиков, воспользовавшихся льготами;</w:t>
      </w:r>
    </w:p>
    <w:p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сведения о суммах выпадающих доходов бюджета округа по каждому налоговому расходу;</w:t>
      </w:r>
    </w:p>
    <w:p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сведения об объемах налогов, задекларированных для уплаты плательщиками в бюджет округа по каждому налоговому расходу;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кураторов налоговых расходов ответственных за соответствующее непрограммное, нераспределенное направление социально-экономической политики округа;</w:t>
      </w:r>
    </w:p>
    <w:p>
      <w:pPr>
        <w:pStyle w:val="ListParagraph"/>
        <w:numPr>
          <w:ilvl w:val="0"/>
          <w:numId w:val="3"/>
        </w:numPr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целесообразности отдельных налоговых расходов – определение соответствия целей налогового расхода целям социально-экономической политики округа;</w:t>
      </w:r>
    </w:p>
    <w:p>
      <w:pPr>
        <w:pStyle w:val="ListParagraph"/>
        <w:numPr>
          <w:ilvl w:val="0"/>
          <w:numId w:val="3"/>
        </w:numPr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результативности налоговых расходов – определение вклада отдельных налоговых расходов в достижение целей социально-экономической политики округа, не относящихся к муниципальным программам (определение влияния налогового расхода на значение целевого показателя (индикатора) муниципальной программы или иного показателя, характеризующего достижение целей социально-экономической политики округа);</w:t>
      </w:r>
    </w:p>
    <w:p>
      <w:pPr>
        <w:pStyle w:val="ListParagraph"/>
        <w:numPr>
          <w:ilvl w:val="0"/>
          <w:numId w:val="3"/>
        </w:numPr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бюджетной эффективности с точки зрения достижения непрограммных целей социально-экономической политики округа;</w:t>
      </w:r>
    </w:p>
    <w:p>
      <w:pPr>
        <w:pStyle w:val="ListParagraph"/>
        <w:numPr>
          <w:ilvl w:val="0"/>
          <w:numId w:val="3"/>
        </w:numPr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выводов об эффективности налоговых расходов и рекомендаций по сохранению или отмене льгот.</w:t>
      </w:r>
    </w:p>
    <w:p>
      <w:pPr>
        <w:pStyle w:val="ListParagraph"/>
        <w:numPr>
          <w:ilvl w:val="0"/>
          <w:numId w:val="3"/>
        </w:numPr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сводного отчета об оценке эффективности налоговых расходов.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Следует отметить, что в соответствии с Постановлением № 796, налоговые расходы делятся на 3 целевые категории: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налоговые расходы – целевая категория налоговых расходов, обусловленных необходимостью обеспечения социальной защиты  (поддержки) населения;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Стимулирующие налоговые расходы –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бюджета;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налоговые расходы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муниципального образования.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284" w:left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Общая характеристика налоговых расходов</w:t>
      </w:r>
    </w:p>
    <w:p>
      <w:pPr>
        <w:pStyle w:val="ListParagraph"/>
        <w:ind w:firstLine="284"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2023 году решениями Совета народных депутатов Чебулинского муниципального округа установлено 12 налоговых расходов, из них 2 с</w:t>
      </w:r>
      <w:r>
        <w:rPr>
          <w:rFonts w:cs="Times New Roman" w:ascii="Times New Roman" w:hAnsi="Times New Roman"/>
          <w:sz w:val="28"/>
          <w:szCs w:val="28"/>
        </w:rPr>
        <w:t xml:space="preserve"> нулевыми выпадающими доходами, что на уровне отчета за 2022 год. По данным Межрайонной инспекции Федеральной налоговой службы № 9 по Кемеровской области-Кузбассу (письмо от 28.06.2024 № 12-18/07853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@,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от 02.08.2024 № 07-24/111, от 02.08.2024 № 07-24/112</w:t>
      </w:r>
      <w:r>
        <w:rPr>
          <w:rFonts w:cs="Times New Roman" w:ascii="Times New Roman" w:hAnsi="Times New Roman"/>
          <w:sz w:val="28"/>
          <w:szCs w:val="28"/>
        </w:rPr>
        <w:t>) за 2023 год по состоянию на 01.08.2024 сумма выпадающих доходов составила 9,0</w:t>
      </w:r>
      <w:r>
        <w:rPr>
          <w:rFonts w:cs="Times New Roman" w:ascii="Times New Roman" w:hAnsi="Times New Roman"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млн.</w:t>
      </w:r>
      <w:r>
        <w:rPr>
          <w:rFonts w:cs="Times New Roman" w:ascii="Times New Roman" w:hAnsi="Times New Roman"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рублей, за предшествующий отчетному год сумма выпадающих доходов составила – 4,7 млн. рублей (таблица 1) </w:t>
      </w:r>
    </w:p>
    <w:p>
      <w:pPr>
        <w:pStyle w:val="ListParagraph"/>
        <w:ind w:firstLine="284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284"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</w:t>
      </w:r>
    </w:p>
    <w:tbl>
      <w:tblPr>
        <w:tblStyle w:val="a4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91"/>
        <w:gridCol w:w="2119"/>
        <w:gridCol w:w="1249"/>
        <w:gridCol w:w="1651"/>
        <w:gridCol w:w="1161"/>
      </w:tblGrid>
      <w:tr>
        <w:trPr/>
        <w:tc>
          <w:tcPr>
            <w:tcW w:w="339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Категория плательщиков</w:t>
            </w:r>
          </w:p>
        </w:tc>
        <w:tc>
          <w:tcPr>
            <w:tcW w:w="3368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2022 г.</w:t>
            </w:r>
          </w:p>
        </w:tc>
        <w:tc>
          <w:tcPr>
            <w:tcW w:w="2812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2023г.</w:t>
            </w:r>
          </w:p>
        </w:tc>
      </w:tr>
      <w:tr>
        <w:trPr/>
        <w:tc>
          <w:tcPr>
            <w:tcW w:w="339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количество налогоплательщиков</w:t>
            </w:r>
          </w:p>
        </w:tc>
        <w:tc>
          <w:tcPr>
            <w:tcW w:w="124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сумма (тыс. руб.)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количество налогоплательщиков</w:t>
            </w:r>
          </w:p>
        </w:tc>
        <w:tc>
          <w:tcPr>
            <w:tcW w:w="116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сумма (тыс. руб.)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- в виде освобождения от уплаты земельного налога с юридических лиц</w:t>
            </w:r>
          </w:p>
        </w:tc>
        <w:tc>
          <w:tcPr>
            <w:tcW w:w="211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24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  <w:tc>
          <w:tcPr>
            <w:tcW w:w="116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7629,9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органы местного самоуправления</w:t>
            </w:r>
          </w:p>
        </w:tc>
        <w:tc>
          <w:tcPr>
            <w:tcW w:w="211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24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16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4136,2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бюджетные учреждения, созданные органами местного самоуправления Чебулинского муниципального округа</w:t>
            </w:r>
          </w:p>
        </w:tc>
        <w:tc>
          <w:tcPr>
            <w:tcW w:w="211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124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3265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116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3493,7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- в виде освобождения от уплаты земельного налога с физических лиц</w:t>
            </w:r>
          </w:p>
        </w:tc>
        <w:tc>
          <w:tcPr>
            <w:tcW w:w="211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4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16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ветераны и инвалиды Великой Отечественной войны</w:t>
            </w:r>
          </w:p>
        </w:tc>
        <w:tc>
          <w:tcPr>
            <w:tcW w:w="211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4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16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33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Труженики тыла ВОВ</w:t>
            </w: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- в размере 50 процентов подлежащей уплате налогоплательщиком сумма налога</w:t>
            </w:r>
          </w:p>
        </w:tc>
        <w:tc>
          <w:tcPr>
            <w:tcW w:w="211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4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16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Российские организации, осуществляющие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оказывающих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</w:t>
            </w:r>
          </w:p>
        </w:tc>
        <w:tc>
          <w:tcPr>
            <w:tcW w:w="211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4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16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33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- в виде пониженной налоговой ставки</w:t>
            </w: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Налогоплательщики-юридические лица в отношении земельных участков, отнесенных 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806</w:t>
            </w:r>
          </w:p>
        </w:tc>
      </w:tr>
      <w:tr>
        <w:trPr/>
        <w:tc>
          <w:tcPr>
            <w:tcW w:w="33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Налогоплательщики-физические лица в отношении земельных участков, отнесенных 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106</w:t>
            </w:r>
          </w:p>
        </w:tc>
      </w:tr>
      <w:tr>
        <w:trPr/>
        <w:tc>
          <w:tcPr>
            <w:tcW w:w="33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Налогоплательщики-юридические лица в отношении земельных участков, 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3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Налогоплательщики-физические лица в отношении земельных участков, 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33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Налогоплательщики-физические лица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июня 2027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3463</w:t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3589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344,5</w:t>
            </w:r>
          </w:p>
        </w:tc>
      </w:tr>
      <w:tr>
        <w:trPr/>
        <w:tc>
          <w:tcPr>
            <w:tcW w:w="33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Налогоплательщики-юридические лица в отношении земельных участков, 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33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 налога на имущество физических лиц в отношении прочих объектов налогообложения</w:t>
            </w: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11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4098</w:t>
            </w:r>
          </w:p>
        </w:tc>
        <w:tc>
          <w:tcPr>
            <w:tcW w:w="124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4681,4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4242</w:t>
            </w:r>
          </w:p>
        </w:tc>
        <w:tc>
          <w:tcPr>
            <w:tcW w:w="116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9049,4</w:t>
            </w:r>
          </w:p>
        </w:tc>
      </w:tr>
    </w:tbl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Число льготополучателей увеличилось за счет увеличения числа льготополучателей</w:t>
      </w:r>
      <w:r>
        <w:rPr>
          <w:rFonts w:cs="Times New Roman" w:ascii="Times New Roman" w:hAnsi="Times New Roman"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налогоплательщиков-физических лиц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огородничества.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Значительное увеличение предоставленных налоговых расходов произошло по налогу на землю для органов местного самоуправления и бюджетных учреждений, созданных органами местного самоуправления Чебулинского муниципального округа на 4262,9 тысяч рублей, в связи с переоценкой кадастровой стоимости земельных участков.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01.01.2023 года действует льгота </w:t>
      </w:r>
      <w:r>
        <w:rPr>
          <w:rFonts w:eastAsia="Calibri" w:cs="Times New Roman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  <w:t>в виде освобождения от уплаты земельного налога с физических лиц по категории налогоплательщиков: Труженики тыла ВОВ, за 2022 год данная льгота не оценивалась.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ListParagraph"/>
        <w:ind w:firstLine="284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налоговых льгот, освобождений и иных преференций</w:t>
      </w:r>
    </w:p>
    <w:p>
      <w:pPr>
        <w:pStyle w:val="ListParagraph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в разрезе решений Совета народных депутатов </w:t>
      </w:r>
    </w:p>
    <w:p>
      <w:pPr>
        <w:pStyle w:val="ListParagraph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Чебулинского муниципального округа</w:t>
      </w:r>
    </w:p>
    <w:p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</w:t>
      </w:r>
    </w:p>
    <w:p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(тыс. рублей)</w:t>
      </w:r>
    </w:p>
    <w:tbl>
      <w:tblPr>
        <w:tblStyle w:val="a4"/>
        <w:tblW w:w="9211" w:type="dxa"/>
        <w:jc w:val="left"/>
        <w:tblInd w:w="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3"/>
        <w:gridCol w:w="2067"/>
        <w:gridCol w:w="1576"/>
        <w:gridCol w:w="2178"/>
        <w:gridCol w:w="1681"/>
        <w:gridCol w:w="1195"/>
      </w:tblGrid>
      <w:tr>
        <w:trPr/>
        <w:tc>
          <w:tcPr>
            <w:tcW w:w="513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067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Решения Совета народных депутатов</w:t>
            </w:r>
          </w:p>
        </w:tc>
        <w:tc>
          <w:tcPr>
            <w:tcW w:w="5435" w:type="dxa"/>
            <w:gridSpan w:val="3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5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513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67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социальная</w:t>
            </w:r>
          </w:p>
        </w:tc>
        <w:tc>
          <w:tcPr>
            <w:tcW w:w="217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стимулирующая</w:t>
            </w:r>
          </w:p>
        </w:tc>
        <w:tc>
          <w:tcPr>
            <w:tcW w:w="168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  <w:tc>
          <w:tcPr>
            <w:tcW w:w="1195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06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130</w:t>
            </w:r>
          </w:p>
        </w:tc>
        <w:tc>
          <w:tcPr>
            <w:tcW w:w="15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473,5</w:t>
            </w:r>
          </w:p>
        </w:tc>
        <w:tc>
          <w:tcPr>
            <w:tcW w:w="217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824,0</w:t>
            </w:r>
          </w:p>
        </w:tc>
        <w:tc>
          <w:tcPr>
            <w:tcW w:w="168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7629,9</w:t>
            </w:r>
          </w:p>
        </w:tc>
        <w:tc>
          <w:tcPr>
            <w:tcW w:w="11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8927,4</w:t>
            </w:r>
          </w:p>
        </w:tc>
      </w:tr>
      <w:tr>
        <w:trPr/>
        <w:tc>
          <w:tcPr>
            <w:tcW w:w="51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7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122</w:t>
            </w:r>
          </w:p>
        </w:tc>
        <w:tc>
          <w:tcPr>
            <w:tcW w:w="217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122</w:t>
            </w:r>
          </w:p>
        </w:tc>
      </w:tr>
      <w:tr>
        <w:trPr/>
        <w:tc>
          <w:tcPr>
            <w:tcW w:w="2580" w:type="dxa"/>
            <w:gridSpan w:val="2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595,5</w:t>
            </w:r>
          </w:p>
        </w:tc>
        <w:tc>
          <w:tcPr>
            <w:tcW w:w="217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824,0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7629,9</w:t>
            </w:r>
          </w:p>
        </w:tc>
        <w:tc>
          <w:tcPr>
            <w:tcW w:w="11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9049,4</w:t>
            </w:r>
          </w:p>
        </w:tc>
      </w:tr>
    </w:tbl>
    <w:p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36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6,6   % выпадающих доходов составили социальные налоговые расходы.</w:t>
      </w:r>
    </w:p>
    <w:p>
      <w:pPr>
        <w:pStyle w:val="ListParagraph"/>
        <w:ind w:left="36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9,1 % выпадающих доходов составили стимулирующие налоговые расходов.</w:t>
      </w:r>
    </w:p>
    <w:p>
      <w:pPr>
        <w:pStyle w:val="ListParagraph"/>
        <w:ind w:left="36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84,3 % выпадающих доходов составляли технические налоговые расходы.</w:t>
      </w:r>
    </w:p>
    <w:p>
      <w:pPr>
        <w:pStyle w:val="ListParagraph"/>
        <w:ind w:firstLine="360"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100 % от общего количества налоговых расходов приходится на эффективные налоговые расходы (таблица 3).</w:t>
      </w:r>
    </w:p>
    <w:p>
      <w:pPr>
        <w:pStyle w:val="ListParagraph"/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Эффективность налоговых расходов в разрезе решений </w:t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Совета народных депутатов Чебулинского муниципального округа</w:t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360"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Таблица 3 </w:t>
      </w:r>
    </w:p>
    <w:tbl>
      <w:tblPr>
        <w:tblStyle w:val="a4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1"/>
        <w:gridCol w:w="1872"/>
        <w:gridCol w:w="2007"/>
        <w:gridCol w:w="1697"/>
        <w:gridCol w:w="1768"/>
        <w:gridCol w:w="1695"/>
      </w:tblGrid>
      <w:tr>
        <w:trPr/>
        <w:tc>
          <w:tcPr>
            <w:tcW w:w="53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872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Решения Совета народных депутатов</w:t>
            </w:r>
          </w:p>
        </w:tc>
        <w:tc>
          <w:tcPr>
            <w:tcW w:w="3704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объем предоставленных льгот, тыс. руб.</w:t>
            </w:r>
          </w:p>
        </w:tc>
        <w:tc>
          <w:tcPr>
            <w:tcW w:w="3463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предоставленных налоговых расходов, ед.</w:t>
            </w:r>
          </w:p>
        </w:tc>
      </w:tr>
      <w:tr>
        <w:trPr/>
        <w:tc>
          <w:tcPr>
            <w:tcW w:w="53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2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эффективные</w:t>
            </w:r>
          </w:p>
        </w:tc>
        <w:tc>
          <w:tcPr>
            <w:tcW w:w="169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неэффективные</w:t>
            </w:r>
          </w:p>
        </w:tc>
        <w:tc>
          <w:tcPr>
            <w:tcW w:w="176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эффективные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неэффективные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87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130</w:t>
            </w:r>
          </w:p>
        </w:tc>
        <w:tc>
          <w:tcPr>
            <w:tcW w:w="200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8927,4</w:t>
            </w:r>
          </w:p>
        </w:tc>
        <w:tc>
          <w:tcPr>
            <w:tcW w:w="169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176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3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007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ListParagraph"/>
        <w:ind w:firstLine="360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Основным инструментом реализации налоговой политики  в Чебулинском муниципальном округе в части налоговых расходов является льгота по уплате земельного налога.</w:t>
      </w:r>
      <w:r>
        <w:rPr>
          <w:rFonts w:cs="Times New Roman" w:ascii="Times New Roman" w:hAnsi="Times New Roman"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Сумма выпадающих доходов бюджета по налогу на землю составляет 98,7 % объема поступлений доходов бюджета от налога на землю в 2023 году.  </w:t>
      </w:r>
    </w:p>
    <w:p>
      <w:pPr>
        <w:pStyle w:val="ListParagraph"/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360" w:left="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Динамика роста поступлений в бюджет налога на землю </w:t>
      </w:r>
    </w:p>
    <w:p>
      <w:pPr>
        <w:pStyle w:val="ListParagraph"/>
        <w:ind w:firstLine="360" w:left="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и предоставления льгот по налогу на землю</w:t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ListParagraph"/>
        <w:ind w:firstLine="360"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Диаграмма 1</w:t>
      </w:r>
    </w:p>
    <w:p>
      <w:pPr>
        <w:pStyle w:val="ListParagraph"/>
        <w:ind w:left="-709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5665470" cy="2851785"/>
            <wp:effectExtent l="0" t="0" r="0" b="0"/>
            <wp:docPr id="1" name="Диаграмма 7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ListParagraph"/>
        <w:ind w:left="-709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</w:t>
      </w:r>
    </w:p>
    <w:tbl>
      <w:tblPr>
        <w:tblStyle w:val="a4"/>
        <w:tblW w:w="10280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58"/>
        <w:gridCol w:w="1145"/>
        <w:gridCol w:w="1146"/>
        <w:gridCol w:w="1162"/>
        <w:gridCol w:w="1146"/>
        <w:gridCol w:w="1145"/>
        <w:gridCol w:w="1152"/>
        <w:gridCol w:w="1124"/>
      </w:tblGrid>
      <w:tr>
        <w:trPr/>
        <w:tc>
          <w:tcPr>
            <w:tcW w:w="225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2017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2018</w:t>
            </w:r>
          </w:p>
        </w:tc>
        <w:tc>
          <w:tcPr>
            <w:tcW w:w="116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2019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2020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2021</w:t>
            </w:r>
          </w:p>
        </w:tc>
        <w:tc>
          <w:tcPr>
            <w:tcW w:w="115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2022</w:t>
            </w:r>
          </w:p>
        </w:tc>
        <w:tc>
          <w:tcPr>
            <w:tcW w:w="1124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2023</w:t>
            </w:r>
          </w:p>
        </w:tc>
      </w:tr>
      <w:tr>
        <w:trPr/>
        <w:tc>
          <w:tcPr>
            <w:tcW w:w="225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предоставление льгот по налогу на землю,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4,29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4,48</w:t>
            </w:r>
          </w:p>
        </w:tc>
        <w:tc>
          <w:tcPr>
            <w:tcW w:w="116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4,69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4,15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3,41</w:t>
            </w:r>
          </w:p>
        </w:tc>
        <w:tc>
          <w:tcPr>
            <w:tcW w:w="115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4,55</w:t>
            </w:r>
          </w:p>
        </w:tc>
        <w:tc>
          <w:tcPr>
            <w:tcW w:w="112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8,9</w:t>
            </w:r>
          </w:p>
        </w:tc>
      </w:tr>
      <w:tr>
        <w:trPr/>
        <w:tc>
          <w:tcPr>
            <w:tcW w:w="225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поступление в бюджет земельного налога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3,85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5,09</w:t>
            </w:r>
          </w:p>
        </w:tc>
        <w:tc>
          <w:tcPr>
            <w:tcW w:w="116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4,0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4,42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3,95</w:t>
            </w:r>
          </w:p>
        </w:tc>
        <w:tc>
          <w:tcPr>
            <w:tcW w:w="115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4,95</w:t>
            </w:r>
          </w:p>
        </w:tc>
        <w:tc>
          <w:tcPr>
            <w:tcW w:w="112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3,31</w:t>
            </w:r>
          </w:p>
        </w:tc>
      </w:tr>
    </w:tbl>
    <w:p>
      <w:pPr>
        <w:pStyle w:val="ListParagraph"/>
        <w:ind w:left="-709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За период с 2017 по 2023 г. (диаграмма 1, таблица 4) налоговые расходы (льготы, представленные по Решению Совета народных депутатов № 130) увеличились на 107,5 % (с 2017 по 2021 год не проводилась оценка налоговых расходов в отношении пониженной налоговой ставки), а поступление доходов по земельному налогу уменьшилось на 14 %.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налоговых льгот, освобождений и преференций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 разрезе видов налогов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5</w:t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656"/>
        <w:gridCol w:w="1594"/>
        <w:gridCol w:w="1"/>
        <w:gridCol w:w="1843"/>
        <w:gridCol w:w="1425"/>
        <w:gridCol w:w="1517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-142" w:righ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656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налог</w:t>
            </w:r>
          </w:p>
        </w:tc>
        <w:tc>
          <w:tcPr>
            <w:tcW w:w="4863" w:type="dxa"/>
            <w:gridSpan w:val="4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целевая категория налогового расхода</w:t>
            </w:r>
          </w:p>
        </w:tc>
        <w:tc>
          <w:tcPr>
            <w:tcW w:w="1517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95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социальная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стимулирующая</w:t>
            </w:r>
          </w:p>
        </w:tc>
        <w:tc>
          <w:tcPr>
            <w:tcW w:w="142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техническая</w:t>
            </w:r>
          </w:p>
        </w:tc>
        <w:tc>
          <w:tcPr>
            <w:tcW w:w="1517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65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 с юридических лиц</w:t>
            </w:r>
          </w:p>
        </w:tc>
        <w:tc>
          <w:tcPr>
            <w:tcW w:w="1595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824,0</w:t>
            </w:r>
          </w:p>
        </w:tc>
        <w:tc>
          <w:tcPr>
            <w:tcW w:w="142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7629,9</w:t>
            </w:r>
          </w:p>
        </w:tc>
        <w:tc>
          <w:tcPr>
            <w:tcW w:w="151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8453,9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65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1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 с физических лиц  (льгота)</w:t>
            </w:r>
          </w:p>
        </w:tc>
        <w:tc>
          <w:tcPr>
            <w:tcW w:w="1595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473,5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42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51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473,5</w:t>
            </w:r>
          </w:p>
        </w:tc>
      </w:tr>
      <w:tr>
        <w:trPr/>
        <w:tc>
          <w:tcPr>
            <w:tcW w:w="53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1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95" w:type="dxa"/>
            <w:gridSpan w:val="2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  <w:tr>
        <w:trPr/>
        <w:tc>
          <w:tcPr>
            <w:tcW w:w="3190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итого</w:t>
            </w:r>
          </w:p>
        </w:tc>
        <w:tc>
          <w:tcPr>
            <w:tcW w:w="159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473,5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946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,0</w:t>
            </w:r>
          </w:p>
        </w:tc>
        <w:tc>
          <w:tcPr>
            <w:tcW w:w="142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7629,9</w:t>
            </w:r>
          </w:p>
        </w:tc>
        <w:tc>
          <w:tcPr>
            <w:tcW w:w="151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9049,4</w:t>
            </w:r>
          </w:p>
        </w:tc>
      </w:tr>
    </w:tbl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Доля отдельных целевых категорий в общем объеме налоговых расходов:</w:t>
      </w:r>
    </w:p>
    <w:p>
      <w:pPr>
        <w:pStyle w:val="ListParagraph"/>
        <w:ind w:firstLine="851" w:left="-284" w:right="424"/>
        <w:jc w:val="both"/>
        <w:rPr>
          <w:color w:val="C9211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84,3 % общего объема составляют технические налоговые расходы по налогу на землю с юридических лиц.</w:t>
      </w:r>
    </w:p>
    <w:p>
      <w:pPr>
        <w:pStyle w:val="ListParagraph"/>
        <w:ind w:firstLine="851" w:left="-284" w:right="424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10,5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% общего объема составляют стимулирующие налоговые расходы по налогу на землю с юридических лиц.</w:t>
      </w:r>
    </w:p>
    <w:p>
      <w:pPr>
        <w:pStyle w:val="ListParagraph"/>
        <w:ind w:firstLine="851" w:left="-284" w:right="424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5,2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% общего объема составляют социальные налоговые расходы по налогу на землю физических лиц и по налогу на имущество физических лиц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Динамика объема налоговых расходов </w:t>
      </w:r>
    </w:p>
    <w:p>
      <w:pPr>
        <w:pStyle w:val="ListParagraph"/>
        <w:ind w:firstLine="851" w:left="-284" w:right="424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по целевым категориям с 2017 по 2023 г.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Диаграмма 2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5485130" cy="3199130"/>
            <wp:effectExtent l="0" t="0" r="0" b="0"/>
            <wp:docPr id="2" name="Диаграмма 9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6</w:t>
      </w:r>
    </w:p>
    <w:tbl>
      <w:tblPr>
        <w:tblStyle w:val="a4"/>
        <w:tblW w:w="10030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6"/>
        <w:gridCol w:w="1007"/>
        <w:gridCol w:w="992"/>
        <w:gridCol w:w="992"/>
        <w:gridCol w:w="992"/>
        <w:gridCol w:w="999"/>
        <w:gridCol w:w="1000"/>
        <w:gridCol w:w="960"/>
      </w:tblGrid>
      <w:tr>
        <w:trPr>
          <w:trHeight w:val="195" w:hRule="atLeast"/>
        </w:trPr>
        <w:tc>
          <w:tcPr>
            <w:tcW w:w="308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2017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2018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2019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2020</w:t>
            </w:r>
          </w:p>
        </w:tc>
        <w:tc>
          <w:tcPr>
            <w:tcW w:w="99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2021</w:t>
            </w:r>
          </w:p>
        </w:tc>
        <w:tc>
          <w:tcPr>
            <w:tcW w:w="1000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2022</w:t>
            </w:r>
          </w:p>
        </w:tc>
        <w:tc>
          <w:tcPr>
            <w:tcW w:w="960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2023</w:t>
            </w:r>
          </w:p>
        </w:tc>
      </w:tr>
      <w:tr>
        <w:trPr/>
        <w:tc>
          <w:tcPr>
            <w:tcW w:w="308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технические налоговые расходы, млн. руб.</w:t>
            </w:r>
          </w:p>
        </w:tc>
        <w:tc>
          <w:tcPr>
            <w:tcW w:w="100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4,29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4,48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4,69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4,15</w:t>
            </w:r>
          </w:p>
        </w:tc>
        <w:tc>
          <w:tcPr>
            <w:tcW w:w="99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3,41</w:t>
            </w:r>
          </w:p>
        </w:tc>
        <w:tc>
          <w:tcPr>
            <w:tcW w:w="1000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3,37</w:t>
            </w:r>
          </w:p>
        </w:tc>
        <w:tc>
          <w:tcPr>
            <w:tcW w:w="960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7,6</w:t>
            </w:r>
          </w:p>
        </w:tc>
      </w:tr>
    </w:tbl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с 2017 по 2023 год (диаграмма 2) по техническим налоговым расходам увеличение составляет 77,2 %. Значительное увеличение предоставленных налоговых расходов произошло по налогу на землю для органов местного самоуправления и бюджетных учреждений, созданных органами местного самоуправления Чебулинского муниципального округа на 4262,9 тысяч рублей, в связи с переоценкой кадастровой стоимости земельных участков.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Распределение налоговых расходов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муниципальным программам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Чебулинского муниципального округа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796, для целей оценки, налоговые расходы муниципального образования соотносятся с целями, установленными соответствующими муниципальными программами. В таблице 7 приведены объемы налоговых расходов в разрезе эффективности налоговых расходов и муниципальных программ.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Объем налоговых льгот, освобождений и иных преференций в разрезе программных, непрограммных и нераспределенных расходов  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7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855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1"/>
        <w:gridCol w:w="2623"/>
        <w:gridCol w:w="2403"/>
        <w:gridCol w:w="1976"/>
        <w:gridCol w:w="2242"/>
      </w:tblGrid>
      <w:tr>
        <w:trPr/>
        <w:tc>
          <w:tcPr>
            <w:tcW w:w="61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623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муниципальная программа, к которой относится налоговый расход</w:t>
            </w:r>
          </w:p>
        </w:tc>
        <w:tc>
          <w:tcPr>
            <w:tcW w:w="2403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предоставленных налоговых льгот, тыс. рублей</w:t>
            </w:r>
          </w:p>
        </w:tc>
        <w:tc>
          <w:tcPr>
            <w:tcW w:w="4218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предоставленных налоговых расходов, ед.</w:t>
            </w:r>
          </w:p>
        </w:tc>
      </w:tr>
      <w:tr>
        <w:trPr/>
        <w:tc>
          <w:tcPr>
            <w:tcW w:w="61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3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эффективные</w:t>
            </w:r>
          </w:p>
        </w:tc>
        <w:tc>
          <w:tcPr>
            <w:tcW w:w="224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неэффективные</w:t>
            </w:r>
          </w:p>
        </w:tc>
      </w:tr>
      <w:tr>
        <w:trPr/>
        <w:tc>
          <w:tcPr>
            <w:tcW w:w="61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 w:right="4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6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 w:right="4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муниципальные программы Чебулинского муниципального округа</w:t>
            </w:r>
          </w:p>
        </w:tc>
        <w:tc>
          <w:tcPr>
            <w:tcW w:w="240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 w:right="4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 w:right="4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24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 w:right="4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1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 w:right="4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6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непрограммные налоговые расходы</w:t>
            </w:r>
          </w:p>
        </w:tc>
        <w:tc>
          <w:tcPr>
            <w:tcW w:w="240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24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1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 w:right="4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6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240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9049,4</w:t>
            </w:r>
          </w:p>
        </w:tc>
        <w:tc>
          <w:tcPr>
            <w:tcW w:w="19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224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1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 w:right="4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240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9049,4</w:t>
            </w:r>
          </w:p>
        </w:tc>
        <w:tc>
          <w:tcPr>
            <w:tcW w:w="19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224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Нераспределенные налоговые расходы занимают 100 % в общем объеме выпадающих расходов бюджета. Нераспределенные налоговые расходы – налоговые расходы Чебулинского муниципального округа, цели которых соответствуют целям (структурным элементам) нескольких муниципальных программ Чебулинского муниципального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таким налоговым расходам относятся: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виде освобождения от уплаты земельного налога для 3-х категорий налогоплательщиков (органов местного самоуправления и  бюджетных учреждений, созданных органами местного самоуправления Чебулинского муниципального округа, ветераны и инвалиды Великой Отечественной войны, труженики тыла ВО</w:t>
      </w: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размере 50 процентов подлежащей уплате налогоплательщиком суммы налога (Российские организации осуществляющие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оказывающие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данных).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 виде пониженной налоговой ставки для налогоплательщиков в отношении: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июня 2027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в отношении прочих объектов налогообложения (налог на имущество физических лиц).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бюджетные учреждения, созданные органами местного самоуправления Чебулинского муниципального округа;</w:t>
      </w:r>
    </w:p>
    <w:p>
      <w:pPr>
        <w:pStyle w:val="ListParagraph"/>
        <w:ind w:firstLine="851" w:left="-284" w:right="424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Кураторы налоговых расходов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Оценку налоговых расходов, результаты которой представлены в настоящем отчете, проводили кураторы налоговых расходов, органы исполнительной власти Чебулинского муниципального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Распределение выпадающих доходов по кураторам налоговых расходов приведено в таблице 8.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налоговых льгот, освобождений и иных преференций в разрезе кураторов налоговых расходов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8</w:t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9"/>
        <w:gridCol w:w="4116"/>
        <w:gridCol w:w="2398"/>
        <w:gridCol w:w="2387"/>
      </w:tblGrid>
      <w:tr>
        <w:trPr/>
        <w:tc>
          <w:tcPr>
            <w:tcW w:w="66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11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куратор налоговых расходов</w:t>
            </w:r>
          </w:p>
        </w:tc>
        <w:tc>
          <w:tcPr>
            <w:tcW w:w="239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налоговых расходов, тыс. рублей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удельный вес налоговых расходов, приходящихся на куратора налоговых расходов, %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11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Территориальное управление по обеспечению жизнедеятельности Чебулинского муниципального округа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9048,9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11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социальной защиты населения администрации Чебулинского муниципального округа</w:t>
            </w:r>
          </w:p>
        </w:tc>
        <w:tc>
          <w:tcPr>
            <w:tcW w:w="239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11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экономики администрации Чебулинского муниципального округа</w:t>
            </w:r>
          </w:p>
        </w:tc>
        <w:tc>
          <w:tcPr>
            <w:tcW w:w="239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куратора – Территориальное управление по обеспечению жизнедеятельности Чебулинского муниципального округа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 счет льгот по уплате земельного налога органами местного самоуправления и бюджетными учреждениями, созданными органами местного самоуправления Чебулинского муниципального округа, по Решению Совета народных депутатов Чебулинского муниципального округа № 130 и № 131 – приходится 100 % от общего объема налоговых расходов.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оценки налоговых расходов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Технические налоговые расходы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оценки технических налоговых расходов приведены в таблице 9; более подробные результаты приведены в приложении 1.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Объемы налоговых льгот, освобождений и иных преференций по техническим налоговым расходам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Таблица 9 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(тыс. рублей)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9"/>
        <w:gridCol w:w="3159"/>
        <w:gridCol w:w="1914"/>
        <w:gridCol w:w="1914"/>
        <w:gridCol w:w="1915"/>
      </w:tblGrid>
      <w:tr>
        <w:trPr/>
        <w:tc>
          <w:tcPr>
            <w:tcW w:w="66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15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Решение Совета народных депутатов Чебулинского муниципального округа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эффективные налоговые расходы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неэффективные налоговые расходы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5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7629,9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7629,9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5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7629,9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7629,9</w:t>
            </w:r>
          </w:p>
        </w:tc>
      </w:tr>
    </w:tbl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налоговые расходы связаны с предоставлением полного освобождения от налога на землю органов местного самоуправления и  бюджетных учреждений, созданных органами местного самоуправления Чебулинского муниципального округа. Объем технических налоговых расходов составляет 7629,9 тыс. рублей. За 2023 год налоговой льготой воспользовались 28 муниципальных учреждений и 8 органов местного самоуправления.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налоговые расходы, установленные в целях устранения (уменьшения) встречных финансовых потоков и оптимизации бюджетных расходов признаются результативными, так как не требуется дополнительного финансирования из бюджета муниципального образования (отсутствует факт начисления налогов и соответствующее финансирование).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технические налоговые расходы признаны эффективными.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Социальные налоговые расходы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оценки социальных налоговых расходов приведены в таблице 10, более подробные результаты приведены в приложении 2.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налоговых льгот, освобождений и иных преференций по социальным налоговым расходам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Таблица 10 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3294"/>
        <w:gridCol w:w="1914"/>
        <w:gridCol w:w="1914"/>
        <w:gridCol w:w="1915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94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Решения Совета народных депутатов</w:t>
            </w:r>
          </w:p>
        </w:tc>
        <w:tc>
          <w:tcPr>
            <w:tcW w:w="1914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предоставленных налоговых льгот, тыс. рублей</w:t>
            </w:r>
          </w:p>
        </w:tc>
        <w:tc>
          <w:tcPr>
            <w:tcW w:w="3829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предоставленных налоговых расходов, ед.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4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эффективные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неэффективные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9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473,5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473,5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налоговые расходы обусловлены необходимостью обеспечения социальной поддержки населения.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социальным налоговым расходам отнесены: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льготы по налогу на землю физических лиц.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пониженные налоговые ставки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результатам оценки эффективности социальных налоговых расходов, по данным Межрайонной инспекции Федеральной налоговой службы № 9 по Кемеровской области-Кузбассу по состоянию на 24.07.2023 (письмо от 24.07.2023 № 12-18/08511, от 02.08.2024 № 07-24/111, от 02.08.2024 № 07-24/112), льготой не воспользовались по налогу на землю категории ветераны и инвалиды Великой Отечественной войны. Невостребованность объясняется отсутствием зарегистрированных прав собственности на земельные участки, соответственно льгота не предоставляется.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Льготу необходимо сохранить, как отвечающую общественным интересам и направленную на социальную эффективность, на решение приоритетных задач Чебулинского муниципального округа по повышению уровня и качества жизни населения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оценки эффективности социальных налоговых расходов, по данным Межрайонной инспекции Федеральной налоговой службы № 9 по Кемеровской области-Кузбассу пониженной налоговой ставкой воспользовались 41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человек.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Стимулирующие налоговые расходы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оценки стимулирующих налоговых расходов приведены в таблице 11, более подробные результаты приведены в приложении 1.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налоговых льгот, освобождений и иных преференций по стимулирующим налоговым расходам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11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3294"/>
        <w:gridCol w:w="1914"/>
        <w:gridCol w:w="1914"/>
        <w:gridCol w:w="1915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94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Решения Совета народных депутатов</w:t>
            </w:r>
          </w:p>
        </w:tc>
        <w:tc>
          <w:tcPr>
            <w:tcW w:w="1914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предоставленных налоговых льгот, тыс. рублей</w:t>
            </w:r>
          </w:p>
        </w:tc>
        <w:tc>
          <w:tcPr>
            <w:tcW w:w="3829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предоставленных налоговых расходов, ед.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4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эффективные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неэффективные</w:t>
            </w:r>
          </w:p>
        </w:tc>
      </w:tr>
      <w:tr>
        <w:trPr>
          <w:trHeight w:val="361" w:hRule="atLeast"/>
        </w:trPr>
        <w:tc>
          <w:tcPr>
            <w:tcW w:w="53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9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824,0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>
          <w:trHeight w:val="361" w:hRule="atLeast"/>
        </w:trPr>
        <w:tc>
          <w:tcPr>
            <w:tcW w:w="53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824,0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Стимулирующие налоговые расходы предполагают стимулирование экономической активности субъектов предпринимательской деятельности и последующее увеличение доходов бюджета.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стимулирующим налоговым расходам относится пониженная налоговая ставка на земельные участки.  По результатам оценки эффективности социальных налоговых расходов, по данным Межрайонной инспекции Федеральной налоговой службы № 9 по Кемеровской области-Кузбассу пониженной налоговой ставкой воспользовались 12 юридических лиц </w:t>
      </w:r>
      <w:r>
        <w:rPr>
          <w:rFonts w:cs="Times New Roman" w:ascii="Times New Roman" w:hAnsi="Times New Roman"/>
          <w:sz w:val="28"/>
          <w:szCs w:val="28"/>
        </w:rPr>
        <w:t>и 82 физических лица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стимулирующим налоговым расходам относятся также «налоговая льгота в размере 50 процентов подлежащей уплате налогоплательщиком суммы налога» для Российских организаций осуществляющих деятельность в области информационных технологий, разрабатывающих и реализующих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оказывающих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Эффективность налоговых льгот оценить не представляется возможным, так как льгота действует  один год и льготой «пока» не воспользовался ни один резидент.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Невостребованность объясняется отсутствием зарегистрированных прав собственности на земельные участки, на которых осуществляется деятельность.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Льготу необходимо сохранить, для сохранения налоговой привлекательности инвестиционной деятельности на территории Чебулинского муниципального округа и стимулирования экономической активности субъектов предпринимательской деятельности и последующее увеличение доходов бюджета.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Выводы о востребованности и предложения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их отмене/сохранению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таблице 12 приведены невостребованные (неэффективные в денежном выражении) налоговые расходы и предложения по их отмене/сохранению, а также предложения по отмене некоторых невостребованных налоговых расходов.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Невостребованные (неэффективные в денежном выражении) налоговые расходы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12</w:t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04"/>
        <w:gridCol w:w="1666"/>
      </w:tblGrid>
      <w:tr>
        <w:trPr/>
        <w:tc>
          <w:tcPr>
            <w:tcW w:w="790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наименование налогового расхода</w:t>
            </w:r>
          </w:p>
        </w:tc>
        <w:tc>
          <w:tcPr>
            <w:tcW w:w="166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предложения куратора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Решение Совета народных депутатов Чебулинского муниципального округа № 130</w:t>
            </w:r>
          </w:p>
        </w:tc>
        <w:tc>
          <w:tcPr>
            <w:tcW w:w="166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1450" w:leader="none"/>
              </w:tabs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земельному налогу с физических лиц для категорий: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ветераны и инвалиды Великой Отечественной войны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1450" w:leader="none"/>
              </w:tabs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сохранить льготу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земельному налогу с юридических для категорий: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0"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Российские организации осуществляющие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оказывающие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данных.</w:t>
            </w:r>
          </w:p>
        </w:tc>
        <w:tc>
          <w:tcPr>
            <w:tcW w:w="166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1450" w:leader="none"/>
              </w:tabs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сохранить льготу</w:t>
            </w:r>
          </w:p>
        </w:tc>
      </w:tr>
    </w:tbl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Кураторами налоговых расходов внесено предложение о сохранении налоговых расходов в отношении категорий: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«ветераны и инвалиды Великой Отечественной войны», так как не воспользовались льготой на протяжении 2017-2023 годов;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«Российские организации осуществляющие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оказывающие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данных»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Невостребованность объясняется отсутствием зарегистрированных прав собственности на земельные участки, соответственно льгота не предоставляется.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Льготы необходимо сохранить, как отвечающую общественным интересам и направленную на социальную эффективность, на решение приоритетных задач Чебулинского муниципального округа по повышению уровня и качества жизни населения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Обобщенные результаты оценки налоговых расходов Чебулинского муниципального округа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 2023 год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налоговых расходов Чебулинского муниципального округа за 2023 год проведена в соответствии с Порядком оценки эффективности налоговых расходов Чебулинского муниципального округа, утвержденной постановлением администрации Чебулинского муниципального округа от 06.10.2020 № 532-п «Об утверждении Порядка формирования перечня налоговых расходов и оценки эффективности налоговых расходов Чебулинского муниципального округа».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2023 году на территории Чебулинского муниципального округа установлены налоговые льготы: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виде освобождения от уплаты земельного налога для 4-х категорий налогоплательщиков (органов местного самоуправления и  бюджетных учреждений, созданных органами местного самоуправления Чебулинского муниципального округа, ветераны и инвалиды Великой Отечественной войны, труженики тыла ВОВ);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размере 50 процентов подлежащей уплате налогоплательщиком суммы налога (Российские организации осуществляющие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оказывающие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данных).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 виде пониженной налоговой ставки для налогоплательщиков в отношении: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июня 2027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в отношении прочих объектов налогообложения (налог на имущество физических лиц).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проведенной оценки эффективности, предоставленные в 2023 году налоговые льготы по уплате земельного налога и налога на имущество физических лиц, являются, в большинстве своем, востребованными – 82 % (10 из 12) и все без исключения имеют положительную социальную эффективность.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администрации Чебулинского муниципального округа от 06.10.2020 № 532-п «Об утверждении Порядка формирования перечня налоговых расходов и оценки эффективности налоговых расходов Чебулинского муниципального округа» сформирован отчет об оценке налоговых расходов муниципального округа за отчетный 2023 год.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Невостребованными остаются льготы по земельному налогу для категории: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«ветераны и инвалиды Великой Отечественной войны».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Эта категория льготополучателей оказалась не востребована, в большей степени, в связи с естественной убылью количества ветеранов Великой Отечественной войны. Несмотря на невостребованность в настоящее время, нельзя исключать прибытие потенциальных льготополучателей в округ.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налоговые расходы, даже если они не востребованы, имеют исключительно социальную эффективность, позволяющую повысить социальную защищенность данных категорий граждан. Применение налогового расхода способствует снижению налогового бремени на население, повышению уровня и качества жизни граждан, снижению социального неравенства, что соответствует направлению социально-экономической политики Чебулинского муниципального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 невостребованными остаются льготы по земельному налогу для категории: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«Российские организации осуществляющие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оказывающие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данных».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Невостребованность объясняется отсутствием зарегистрированных прав собственности на земельные участки, соответственно льгота не предоставляется.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Льготы необходимо сохранить, как отвечающую общественным интересам и направленную на социальную эффективность, на решение приоритетных задач Чебулинского муниципального округа по повышению уровня и качества жизни населения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оценки бюджетной эффективности налоговых расходов осуществляется сравнительный анализ результативности предоставления льготы  и результативности применения альтернативных механизмов достижения целей муниципальных программ.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Альтернативные механизмы достижения целей муниципальных программ не предусмотрены муниципальными правовыми актами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Потенциально возможный альтернативный механизм достижения целей муниципальных программа и мероприятий социально-экономического развития Чебулинского муниципального округа в целом – предоставление субсидий плательщикам, имеющим право на получение льготы за счет средств бюджета округа. Предоставление субсидии не является более результативным (менее затратным) альтернативным механизмом достижения целей муниципальных программа и мероприятий социально-экономического развития Чебулинского муниципального округа в целом высокодотационного бюджета Чебулинского муниципального округа, так как кроме суммы субсидий равной сумме налоговой льготы из бюджета округа необходимо возместить расходы организационно-административного характера.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Предоставление налоговой льготы является более результативным для Чебулинского муниципального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целом, период 2017-2023г. характеризуется равномерной динамикой объема налоговых расходов Чебулинского муниципального округа (диаграмма 3). С 2017 года по 2019 год налоговый расход увеличился на 9,3 %, в следующий период с 2019 г. по 2021 г. произошло снижение на 7,3 %,  в период с 2021 г. по 2023 г. произошло повышение налогового расхода на 263,9 %. В наибольшей степени изменение объема налоговых расходов произошло за счет изменений технических налоговых расходов по земельному налогу, связанных с переоценкой стоимости, с продажей земельных участков, находящихся в собственности муниципальных учреждений и органов местного самоуправления.  Увеличение суммы налоговых расходов и количества льготополучателей в 2023 году по сравнению с 2020 годом и 2021 годом произошло по причине не проведения анализа налоговых расходов по пониженной налоговой ставке в 2020-2021 годах.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Динамика поступления налоговых доходов и предоставление налоговых расходов (льгот)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Диаграмма 3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485130" cy="3199130"/>
            <wp:effectExtent l="0" t="0" r="0" b="0"/>
            <wp:docPr id="3" name="Диаграмма 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Немного по-другому складывается динамика поступлений налоговых доходов:  в период с 2017 г. по 2023 г. значительный рост на 133,4 %. 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Сведения о суммах выпадающих доходов бюджета </w:t>
      </w:r>
    </w:p>
    <w:p>
      <w:pPr>
        <w:pStyle w:val="ListParagraph"/>
        <w:ind w:firstLine="851" w:left="-284" w:right="424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Чебулинского муниципального округа </w:t>
      </w:r>
    </w:p>
    <w:p>
      <w:pPr>
        <w:pStyle w:val="ListParagraph"/>
        <w:ind w:firstLine="851" w:left="-284" w:right="424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по каждому налоговому расходу за период 2021-2023   годы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Динамика налоговых расходов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13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 рублей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855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31"/>
        <w:gridCol w:w="1299"/>
        <w:gridCol w:w="1318"/>
        <w:gridCol w:w="1321"/>
        <w:gridCol w:w="1239"/>
        <w:gridCol w:w="1223"/>
        <w:gridCol w:w="1223"/>
      </w:tblGrid>
      <w:tr>
        <w:trPr/>
        <w:tc>
          <w:tcPr>
            <w:tcW w:w="223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показатели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2021</w:t>
            </w:r>
          </w:p>
        </w:tc>
        <w:tc>
          <w:tcPr>
            <w:tcW w:w="1318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2022</w:t>
            </w:r>
          </w:p>
        </w:tc>
        <w:tc>
          <w:tcPr>
            <w:tcW w:w="132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2023</w:t>
            </w:r>
          </w:p>
        </w:tc>
        <w:tc>
          <w:tcPr>
            <w:tcW w:w="3685" w:type="dxa"/>
            <w:gridSpan w:val="3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динамика / темп роста</w:t>
            </w:r>
          </w:p>
        </w:tc>
      </w:tr>
      <w:tr>
        <w:trPr/>
        <w:tc>
          <w:tcPr>
            <w:tcW w:w="223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8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2022 к 2021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2023 к 2022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2023 к 2021</w:t>
            </w:r>
          </w:p>
        </w:tc>
      </w:tr>
      <w:tr>
        <w:trPr>
          <w:trHeight w:val="345" w:hRule="atLeast"/>
        </w:trPr>
        <w:tc>
          <w:tcPr>
            <w:tcW w:w="223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налоговые доходы (исполнение), том числе: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116224,4</w:t>
            </w:r>
          </w:p>
        </w:tc>
        <w:tc>
          <w:tcPr>
            <w:tcW w:w="1318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147943,1</w:t>
            </w:r>
          </w:p>
        </w:tc>
        <w:tc>
          <w:tcPr>
            <w:tcW w:w="132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154457,1</w:t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31718,7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6514,0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38232,7</w:t>
            </w:r>
          </w:p>
        </w:tc>
      </w:tr>
      <w:tr>
        <w:trPr>
          <w:trHeight w:val="344" w:hRule="atLeast"/>
        </w:trPr>
        <w:tc>
          <w:tcPr>
            <w:tcW w:w="223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8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127,3 %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104,4 %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132,9 %</w:t>
            </w:r>
          </w:p>
        </w:tc>
      </w:tr>
      <w:tr>
        <w:trPr>
          <w:trHeight w:val="113" w:hRule="atLeast"/>
        </w:trPr>
        <w:tc>
          <w:tcPr>
            <w:tcW w:w="223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3950,7</w:t>
            </w:r>
          </w:p>
        </w:tc>
        <w:tc>
          <w:tcPr>
            <w:tcW w:w="1318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4948,0</w:t>
            </w:r>
          </w:p>
        </w:tc>
        <w:tc>
          <w:tcPr>
            <w:tcW w:w="132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3310,8</w:t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997,3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-1637,2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-639,9</w:t>
            </w:r>
          </w:p>
        </w:tc>
      </w:tr>
      <w:tr>
        <w:trPr>
          <w:trHeight w:val="112" w:hRule="atLeast"/>
        </w:trPr>
        <w:tc>
          <w:tcPr>
            <w:tcW w:w="223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8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125,2 %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66,9 %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83,8 %</w:t>
            </w:r>
          </w:p>
        </w:tc>
      </w:tr>
      <w:tr>
        <w:trPr>
          <w:trHeight w:val="56" w:hRule="atLeast"/>
        </w:trPr>
        <w:tc>
          <w:tcPr>
            <w:tcW w:w="223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569,8</w:t>
            </w:r>
          </w:p>
        </w:tc>
        <w:tc>
          <w:tcPr>
            <w:tcW w:w="1318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709,9</w:t>
            </w:r>
          </w:p>
        </w:tc>
        <w:tc>
          <w:tcPr>
            <w:tcW w:w="132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815,2</w:t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140,1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105,3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245,4</w:t>
            </w:r>
          </w:p>
        </w:tc>
      </w:tr>
      <w:tr>
        <w:trPr>
          <w:trHeight w:val="56" w:hRule="atLeast"/>
        </w:trPr>
        <w:tc>
          <w:tcPr>
            <w:tcW w:w="2231" w:type="dxa"/>
            <w:vMerge w:val="continue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9" w:type="dxa"/>
            <w:vMerge w:val="continue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8" w:type="dxa"/>
            <w:vMerge w:val="continue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1" w:type="dxa"/>
            <w:vMerge w:val="continue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124,6 %</w:t>
            </w:r>
          </w:p>
        </w:tc>
        <w:tc>
          <w:tcPr>
            <w:tcW w:w="122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114,8 %</w:t>
            </w:r>
          </w:p>
        </w:tc>
        <w:tc>
          <w:tcPr>
            <w:tcW w:w="122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143,1 %</w:t>
            </w:r>
          </w:p>
        </w:tc>
      </w:tr>
      <w:tr>
        <w:trPr>
          <w:trHeight w:val="113" w:hRule="atLeast"/>
        </w:trPr>
        <w:tc>
          <w:tcPr>
            <w:tcW w:w="2231" w:type="dxa"/>
            <w:vMerge w:val="restart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налоговые расходы</w:t>
            </w:r>
          </w:p>
        </w:tc>
        <w:tc>
          <w:tcPr>
            <w:tcW w:w="1299" w:type="dxa"/>
            <w:vMerge w:val="restart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3408</w:t>
            </w:r>
          </w:p>
        </w:tc>
        <w:tc>
          <w:tcPr>
            <w:tcW w:w="1318" w:type="dxa"/>
            <w:vMerge w:val="restart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4681,4</w:t>
            </w:r>
          </w:p>
        </w:tc>
        <w:tc>
          <w:tcPr>
            <w:tcW w:w="1321" w:type="dxa"/>
            <w:vMerge w:val="restart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9049,4</w:t>
            </w:r>
          </w:p>
        </w:tc>
        <w:tc>
          <w:tcPr>
            <w:tcW w:w="123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1273,4</w:t>
            </w:r>
          </w:p>
        </w:tc>
        <w:tc>
          <w:tcPr>
            <w:tcW w:w="122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4368,0</w:t>
            </w:r>
          </w:p>
        </w:tc>
        <w:tc>
          <w:tcPr>
            <w:tcW w:w="122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5641,4</w:t>
            </w:r>
          </w:p>
        </w:tc>
      </w:tr>
      <w:tr>
        <w:trPr>
          <w:trHeight w:val="112" w:hRule="atLeast"/>
        </w:trPr>
        <w:tc>
          <w:tcPr>
            <w:tcW w:w="223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8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137,4 %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193,3 %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265,5 %</w:t>
            </w:r>
          </w:p>
        </w:tc>
      </w:tr>
      <w:tr>
        <w:trPr/>
        <w:tc>
          <w:tcPr>
            <w:tcW w:w="223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налоговых расходов в общем объеме налоговых доходов бюджета</w:t>
            </w:r>
          </w:p>
        </w:tc>
        <w:tc>
          <w:tcPr>
            <w:tcW w:w="129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2,9 %</w:t>
            </w:r>
          </w:p>
        </w:tc>
        <w:tc>
          <w:tcPr>
            <w:tcW w:w="131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3,2 %</w:t>
            </w:r>
          </w:p>
        </w:tc>
        <w:tc>
          <w:tcPr>
            <w:tcW w:w="132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5,9 %</w:t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110,3 %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184,4 %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203,4 %</w:t>
            </w:r>
          </w:p>
        </w:tc>
      </w:tr>
      <w:tr>
        <w:trPr/>
        <w:tc>
          <w:tcPr>
            <w:tcW w:w="223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льготополучателей в разрезе категорий налоговых расходов, ед., в том числе:</w:t>
            </w:r>
          </w:p>
        </w:tc>
        <w:tc>
          <w:tcPr>
            <w:tcW w:w="129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31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4098</w:t>
            </w:r>
          </w:p>
        </w:tc>
        <w:tc>
          <w:tcPr>
            <w:tcW w:w="132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4242</w:t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11708,6 %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103,5 %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12120 %</w:t>
            </w:r>
          </w:p>
        </w:tc>
      </w:tr>
      <w:tr>
        <w:trPr/>
        <w:tc>
          <w:tcPr>
            <w:tcW w:w="223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технические</w:t>
            </w:r>
          </w:p>
        </w:tc>
        <w:tc>
          <w:tcPr>
            <w:tcW w:w="129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31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32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102,9 %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102,9 %</w:t>
            </w:r>
          </w:p>
        </w:tc>
      </w:tr>
      <w:tr>
        <w:trPr/>
        <w:tc>
          <w:tcPr>
            <w:tcW w:w="223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социальные</w:t>
            </w:r>
          </w:p>
        </w:tc>
        <w:tc>
          <w:tcPr>
            <w:tcW w:w="129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31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3952</w:t>
            </w:r>
          </w:p>
        </w:tc>
        <w:tc>
          <w:tcPr>
            <w:tcW w:w="132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106,1 %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223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стимулирующие</w:t>
            </w:r>
          </w:p>
        </w:tc>
        <w:tc>
          <w:tcPr>
            <w:tcW w:w="129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31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</w:t>
            </w:r>
          </w:p>
        </w:tc>
        <w:tc>
          <w:tcPr>
            <w:tcW w:w="132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94</w:t>
            </w:r>
          </w:p>
        </w:tc>
        <w:tc>
          <w:tcPr>
            <w:tcW w:w="123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100 %</w:t>
            </w:r>
          </w:p>
        </w:tc>
        <w:tc>
          <w:tcPr>
            <w:tcW w:w="122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hanging="0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(за 2021 год анализ налоговых расходов по пониженной налоговой ставке не осуществлялся).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таблице 13 приведена динамика налоговых расходов.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целом налоговые доходы округа возросли в 2023 году по сравнению с 2021 годом на 32,9 % или на 38232,7 тыс. рублей.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этом за период с 2021 по 2023 года доля налоговых расходов увеличилась с 2,9 % до 5,9 %, а поступления по налогу за землю снизились на 16,2 %.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Увеличение суммы налоговых расходов и количества льготополучателей в 2023 году по сравнению с 2021 годом произошло по причине не проведения анализа налоговых расходов по пониженной налоговой ставке в 2021 году.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предоставленных налоговых льгот за 2022-2023 годы и прогноз на плановый период 2024-2026 годов по каждому налоговому расходу Чебулинского муниципального округа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13</w:t>
      </w:r>
    </w:p>
    <w:tbl>
      <w:tblPr>
        <w:tblStyle w:val="a4"/>
        <w:tblW w:w="9925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9"/>
        <w:gridCol w:w="1783"/>
        <w:gridCol w:w="3191"/>
        <w:gridCol w:w="995"/>
        <w:gridCol w:w="858"/>
        <w:gridCol w:w="854"/>
        <w:gridCol w:w="842"/>
        <w:gridCol w:w="871"/>
      </w:tblGrid>
      <w:tr>
        <w:trPr/>
        <w:tc>
          <w:tcPr>
            <w:tcW w:w="529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783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 налога</w:t>
            </w:r>
          </w:p>
        </w:tc>
        <w:tc>
          <w:tcPr>
            <w:tcW w:w="3191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налоговой льготы</w:t>
            </w:r>
          </w:p>
        </w:tc>
        <w:tc>
          <w:tcPr>
            <w:tcW w:w="4420" w:type="dxa"/>
            <w:gridSpan w:val="5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налоговых расходов, тыс. рублей</w:t>
            </w:r>
          </w:p>
        </w:tc>
      </w:tr>
      <w:tr>
        <w:trPr/>
        <w:tc>
          <w:tcPr>
            <w:tcW w:w="529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53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факт</w:t>
            </w:r>
          </w:p>
        </w:tc>
        <w:tc>
          <w:tcPr>
            <w:tcW w:w="2567" w:type="dxa"/>
            <w:gridSpan w:val="3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прогноз</w:t>
            </w:r>
          </w:p>
        </w:tc>
      </w:tr>
      <w:tr>
        <w:trPr/>
        <w:tc>
          <w:tcPr>
            <w:tcW w:w="529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2022</w:t>
            </w:r>
          </w:p>
        </w:tc>
        <w:tc>
          <w:tcPr>
            <w:tcW w:w="85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2023</w:t>
            </w:r>
          </w:p>
        </w:tc>
        <w:tc>
          <w:tcPr>
            <w:tcW w:w="85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2024</w:t>
            </w:r>
          </w:p>
        </w:tc>
        <w:tc>
          <w:tcPr>
            <w:tcW w:w="84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2025</w:t>
            </w:r>
          </w:p>
        </w:tc>
        <w:tc>
          <w:tcPr>
            <w:tcW w:w="87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2026</w:t>
            </w:r>
          </w:p>
        </w:tc>
      </w:tr>
      <w:tr>
        <w:trPr/>
        <w:tc>
          <w:tcPr>
            <w:tcW w:w="529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83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 с юридических лиц</w:t>
            </w:r>
          </w:p>
        </w:tc>
        <w:tc>
          <w:tcPr>
            <w:tcW w:w="31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п.4. Освобождаются от налогообложения Органы местного самоуправления</w:t>
            </w:r>
          </w:p>
        </w:tc>
        <w:tc>
          <w:tcPr>
            <w:tcW w:w="9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  <w:tc>
          <w:tcPr>
            <w:tcW w:w="85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4136,2</w:t>
            </w:r>
          </w:p>
        </w:tc>
        <w:tc>
          <w:tcPr>
            <w:tcW w:w="85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4136,2</w:t>
            </w:r>
          </w:p>
        </w:tc>
        <w:tc>
          <w:tcPr>
            <w:tcW w:w="84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4136,2</w:t>
            </w:r>
          </w:p>
        </w:tc>
        <w:tc>
          <w:tcPr>
            <w:tcW w:w="87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4136,2</w:t>
            </w:r>
          </w:p>
        </w:tc>
      </w:tr>
      <w:tr>
        <w:trPr/>
        <w:tc>
          <w:tcPr>
            <w:tcW w:w="529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п.4. Освобождаются от налогообложения бюджетные учреждения, созданные органами местного самоуправления Чебулинского муниципального округа</w:t>
            </w:r>
          </w:p>
        </w:tc>
        <w:tc>
          <w:tcPr>
            <w:tcW w:w="9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3265</w:t>
            </w:r>
          </w:p>
        </w:tc>
        <w:tc>
          <w:tcPr>
            <w:tcW w:w="85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3493,7</w:t>
            </w:r>
          </w:p>
        </w:tc>
        <w:tc>
          <w:tcPr>
            <w:tcW w:w="85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3493,7</w:t>
            </w:r>
          </w:p>
        </w:tc>
        <w:tc>
          <w:tcPr>
            <w:tcW w:w="84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3493,7</w:t>
            </w:r>
          </w:p>
        </w:tc>
        <w:tc>
          <w:tcPr>
            <w:tcW w:w="87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3493,7</w:t>
            </w:r>
          </w:p>
        </w:tc>
      </w:tr>
      <w:tr>
        <w:trPr/>
        <w:tc>
          <w:tcPr>
            <w:tcW w:w="529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п.4.1. налоговая льгота предоставляется в размере 50 процентов подлежащей уплате налогоплательщиком суммы налога Российским организациям осуществляющим деятельность в области информационных технологий, разрабатывающим и реализующим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оказывающим услуги (выполняющим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устанавливающих, тестирующих и сопровождающих программы для ЭВМ, базы данных</w:t>
            </w:r>
          </w:p>
        </w:tc>
        <w:tc>
          <w:tcPr>
            <w:tcW w:w="9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4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7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31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85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7629,9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7629,9</w:t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7629,9</w:t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7629,9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83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 с физических лиц</w:t>
            </w:r>
          </w:p>
        </w:tc>
        <w:tc>
          <w:tcPr>
            <w:tcW w:w="31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4 Освобождаются от налогообложения ветераны и инвалиды Великой Отечественной войны</w:t>
            </w:r>
          </w:p>
        </w:tc>
        <w:tc>
          <w:tcPr>
            <w:tcW w:w="9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4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7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2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п. 4 Освобождаются от налогообложения труженики тыла ВОВ</w:t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319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85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84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  <w:tc>
          <w:tcPr>
            <w:tcW w:w="87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5503" w:type="dxa"/>
            <w:gridSpan w:val="3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Пониженная налоговая ставка</w:t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Земельный налог</w:t>
            </w:r>
          </w:p>
        </w:tc>
        <w:tc>
          <w:tcPr>
            <w:tcW w:w="31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п.2/абз 2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Налогоплательщики-юридические лица в отношении земельных участков, отнесенных 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690</w:t>
            </w: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806</w:t>
            </w: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806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806</w:t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806</w:t>
            </w:r>
          </w:p>
        </w:tc>
      </w:tr>
      <w:tr>
        <w:trPr/>
        <w:tc>
          <w:tcPr>
            <w:tcW w:w="52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1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п.2/абз 2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Налогоплательщики-физические лица в отношении земельных участков, отнесенных 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106</w:t>
            </w:r>
          </w:p>
        </w:tc>
      </w:tr>
      <w:tr>
        <w:trPr/>
        <w:tc>
          <w:tcPr>
            <w:tcW w:w="52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1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п.2/абз 3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Налогоплательщики-юридические лица в отношении земельных участков, 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1,4</w:t>
            </w: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2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1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п.2/абз 3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Налогоплательщики-физические лица в отношении земельных участков, 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2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1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п.2/абз 4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Налогоплательщики-физические лица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июня 2027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344,5</w:t>
            </w: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344,5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344,5</w:t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344,5</w:t>
            </w:r>
          </w:p>
        </w:tc>
      </w:tr>
      <w:tr>
        <w:trPr/>
        <w:tc>
          <w:tcPr>
            <w:tcW w:w="52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1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п.2/абз 5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Налогоплательщики-юридические лица в отношении земельных участков, 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52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1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п.2/пп.4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Налогоплательщики налога на имущество физических лиц в отношении прочих объектов налогообложения</w:t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122</w:t>
            </w:r>
          </w:p>
        </w:tc>
      </w:tr>
      <w:tr>
        <w:trPr/>
        <w:tc>
          <w:tcPr>
            <w:tcW w:w="52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всего</w:t>
            </w:r>
          </w:p>
        </w:tc>
        <w:tc>
          <w:tcPr>
            <w:tcW w:w="319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4681,4</w:t>
            </w: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9049,4</w:t>
            </w: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9049,4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9049,4</w:t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9049,4</w:t>
            </w:r>
          </w:p>
        </w:tc>
      </w:tr>
    </w:tbl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Результаты оценки налоговых расходов Чебулинского муниципального округа за 2023 год приведены в приложении 1.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111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Результаты оценки налоговых расходов</w:t>
      </w:r>
    </w:p>
    <w:p>
      <w:pPr>
        <w:pStyle w:val="ListParagraph"/>
        <w:ind w:firstLine="851" w:left="-284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firstLine="851" w:left="-284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4"/>
        <w:tblW w:w="15070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6"/>
        <w:gridCol w:w="1843"/>
        <w:gridCol w:w="1843"/>
        <w:gridCol w:w="1700"/>
        <w:gridCol w:w="2268"/>
        <w:gridCol w:w="1992"/>
        <w:gridCol w:w="1575"/>
        <w:gridCol w:w="1471"/>
      </w:tblGrid>
      <w:tr>
        <w:trPr/>
        <w:tc>
          <w:tcPr>
            <w:tcW w:w="23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Решение Совета народных депутатов Чебулинского муниципального округа, устанавливающее льготу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структурная единица решения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наименование льготы</w:t>
            </w:r>
          </w:p>
        </w:tc>
        <w:tc>
          <w:tcPr>
            <w:tcW w:w="1700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налог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муниципальная программа/ непрограммные расходы/ нераспределенные расходы</w:t>
            </w:r>
          </w:p>
        </w:tc>
        <w:tc>
          <w:tcPr>
            <w:tcW w:w="199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куратор налогового расхода</w:t>
            </w:r>
          </w:p>
        </w:tc>
        <w:tc>
          <w:tcPr>
            <w:tcW w:w="157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эффективная льгота (да/нет)</w:t>
            </w:r>
          </w:p>
        </w:tc>
        <w:tc>
          <w:tcPr>
            <w:tcW w:w="147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налоговых расходов в 2023г., тыс. рублей</w:t>
            </w:r>
          </w:p>
        </w:tc>
      </w:tr>
      <w:tr>
        <w:trPr/>
        <w:tc>
          <w:tcPr>
            <w:tcW w:w="15068" w:type="dxa"/>
            <w:gridSpan w:val="8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технические налоговые расходы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п.4/абз.3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освобождение от налогообложения Органы местного самоуправления</w:t>
            </w:r>
          </w:p>
        </w:tc>
        <w:tc>
          <w:tcPr>
            <w:tcW w:w="1700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199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157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7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4136,2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п.4/абз.4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освобождение от налогообложения Бюджетные учреждения, созданные органами местного самоуправления Чебулинского муниципального округа</w:t>
            </w:r>
          </w:p>
        </w:tc>
        <w:tc>
          <w:tcPr>
            <w:tcW w:w="1700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199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157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7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3493,7</w:t>
            </w:r>
          </w:p>
        </w:tc>
      </w:tr>
      <w:tr>
        <w:trPr/>
        <w:tc>
          <w:tcPr>
            <w:tcW w:w="15068" w:type="dxa"/>
            <w:gridSpan w:val="8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социальные налоговые расходы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п.4/абз.5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освобождение от налогообложения Ветераны и инвалиды Великой Отечественной войны</w:t>
            </w:r>
          </w:p>
        </w:tc>
        <w:tc>
          <w:tcPr>
            <w:tcW w:w="1700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Муниципальная программа «Социальная поддержка населения Чебулинского муниципального округа»</w:t>
            </w:r>
          </w:p>
        </w:tc>
        <w:tc>
          <w:tcPr>
            <w:tcW w:w="199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социальной защиты населения администрации Чебулинского муниципального округа</w:t>
            </w:r>
          </w:p>
        </w:tc>
        <w:tc>
          <w:tcPr>
            <w:tcW w:w="157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7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2376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п.4/абз.5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освобождение от налогообложения Труженики тыла Великой Отечественной войны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Муниципальная программа «Социальная поддержка населения Чебулинского муниципального округа»</w:t>
            </w:r>
          </w:p>
        </w:tc>
        <w:tc>
          <w:tcPr>
            <w:tcW w:w="199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социальной защиты населения администрации Чебулинского муниципального округа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15068" w:type="dxa"/>
            <w:gridSpan w:val="8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стимулирующие налоговые расходы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п.4.1.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Налоговая льгота предоставляется в размере 50 процентов подлежащей уплате налогоплательщиком суммы налога Российским организациям осуществляющим деятельность в области информационных технологий, разрабатывающим и реализующим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оказывающим услуги (выполняющим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устанавливающим, тестирующим и сопровождающим программы для ЭВМ, базы данных</w:t>
            </w:r>
          </w:p>
        </w:tc>
        <w:tc>
          <w:tcPr>
            <w:tcW w:w="1700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199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экономики администрации Чебулинского муниципального округа</w:t>
            </w:r>
          </w:p>
        </w:tc>
        <w:tc>
          <w:tcPr>
            <w:tcW w:w="157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7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15068" w:type="dxa"/>
            <w:gridSpan w:val="8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пониженная налоговая ставка 0,2 процента в отношении земельных участков (в налоговом кодексе налоговая ставка 0,3 процента)</w:t>
            </w:r>
          </w:p>
        </w:tc>
      </w:tr>
      <w:tr>
        <w:trPr/>
        <w:tc>
          <w:tcPr>
            <w:tcW w:w="2376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п.2/абз. 2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2"/>
              <w:shd w:val="clear" w:color="auto" w:fill="auto"/>
              <w:spacing w:lineRule="auto" w:line="240" w:before="171" w:after="171"/>
              <w:ind w:left="20" w:right="57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 отношении земельных участ-ков, отнесенных к землям сельско-хозяйственного назначения или к землям в составе зон сельскохо-зяйственного использования в населенных пунктах и испо-льзуемых для сельскохозяйственного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199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912,0</w:t>
            </w:r>
          </w:p>
        </w:tc>
      </w:tr>
      <w:tr>
        <w:trPr/>
        <w:tc>
          <w:tcPr>
            <w:tcW w:w="2376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п.2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2"/>
              <w:shd w:val="clear" w:color="auto" w:fill="auto"/>
              <w:spacing w:lineRule="auto" w:line="240" w:before="171" w:after="171"/>
              <w:ind w:left="20" w:right="57"/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В отношении земельных учас-тков, занятых жилищным фон-дом и объектами инженерной инфраструктуры жилищно-комму-нального комп-лекса (за исклю-чением доли в праве на земель-ный участок, прихо-дящейся на объект, не относящийся к жилищному фонду и к объек-там инженерной инфраструктуры жилищно-комму-нального комп-лекса) или приоб-ретенных (пре-доставленных) для жилищного строительства (за исключением зе-мельных участ-ков, приобрете-нных (предостав-ленных) для ин-дивидуального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199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23,5</w:t>
            </w:r>
          </w:p>
        </w:tc>
      </w:tr>
      <w:tr>
        <w:trPr/>
        <w:tc>
          <w:tcPr>
            <w:tcW w:w="2376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п.2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2"/>
              <w:shd w:val="clear" w:color="auto" w:fill="auto"/>
              <w:spacing w:lineRule="auto" w:line="240" w:before="171" w:after="171"/>
              <w:ind w:left="20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отношении земельных учас-тков,  не исполь-зуемых в предп-ринимательской деятельности, приобретенных (предоставленных) для ведения личного подсоб-ного хозяйства, садоводства или огородничества, а также земельных участков общего назначения, пре-дусмотренных Федеральным законом от 29 июня 2027 года № 217-ФЗ «О ведении гражда-нами садоводства и огородничества для собственных нужд и о вне-сении изменений в отдельные зако-нодательные акты Российской Федерации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199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344,5</w:t>
            </w:r>
          </w:p>
        </w:tc>
      </w:tr>
      <w:tr>
        <w:trPr/>
        <w:tc>
          <w:tcPr>
            <w:tcW w:w="2376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п.2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2"/>
              <w:shd w:val="clear" w:color="auto" w:fill="auto"/>
              <w:spacing w:lineRule="auto" w:line="240" w:before="171" w:after="171"/>
              <w:ind w:left="20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отношении земельных учас-тков,   ограниче-нных в обороте в соответствии с законодательством Российской Федерации, предоставленных для обеспечения обороны, безо-пасности и тамо-женных нужд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199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15068" w:type="dxa"/>
            <w:gridSpan w:val="8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пониженная налоговая ставка 0,3 процента в отношении налога на имущество физических лиц (в налоговом кодексе налоговая ставка 0,5 процента)</w:t>
            </w:r>
          </w:p>
        </w:tc>
      </w:tr>
      <w:tr>
        <w:trPr/>
        <w:tc>
          <w:tcPr>
            <w:tcW w:w="2376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  <w:t>от 24.11.2020 № 131 «Об установлении налога на имущество физических лиц на территории  Чебулинского муниципального округа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подпункт 4 пункта 2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2"/>
              <w:shd w:val="clear" w:color="auto" w:fill="auto"/>
              <w:spacing w:lineRule="exact" w:line="320" w:before="0" w:after="0"/>
              <w:ind w:left="20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прочих объектов налогообложения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1992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122</w:t>
            </w:r>
          </w:p>
        </w:tc>
      </w:tr>
      <w:tr>
        <w:trPr/>
        <w:tc>
          <w:tcPr>
            <w:tcW w:w="13597" w:type="dxa"/>
            <w:gridSpan w:val="7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налоговые расходы за 2022 год (налоговые льготы и пониженная ставка в сравнении с федеральным законодательством)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9049,4</w:t>
            </w:r>
          </w:p>
        </w:tc>
      </w:tr>
    </w:tbl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Решением совета народных депутатов Чебулинского муниципального округа от 24.11.2020 № 130 «Об установлении земельного налога на территории Чебулинского муниципального округа» (с изменениями и дополнениями) установлена налоговая ставка 0,2 процента в отношении земельных участков:</w:t>
      </w:r>
    </w:p>
    <w:p>
      <w:pPr>
        <w:pStyle w:val="2"/>
        <w:shd w:val="clear" w:color="auto" w:fill="auto"/>
        <w:spacing w:lineRule="exact" w:line="320" w:before="0" w:after="0"/>
        <w:ind w:left="2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2"/>
        <w:shd w:val="clear" w:color="auto" w:fill="auto"/>
        <w:spacing w:lineRule="exact" w:line="320" w:before="0" w:after="0"/>
        <w:ind w:left="2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>
      <w:pPr>
        <w:pStyle w:val="2"/>
        <w:shd w:val="clear" w:color="auto" w:fill="auto"/>
        <w:spacing w:lineRule="exact" w:line="320" w:before="0" w:after="0"/>
        <w:ind w:left="2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июня 2027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>
      <w:pPr>
        <w:pStyle w:val="2"/>
        <w:shd w:val="clear" w:color="auto" w:fill="auto"/>
        <w:spacing w:lineRule="exact" w:line="320" w:before="0" w:after="0"/>
        <w:ind w:left="2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>
      <w:pPr>
        <w:pStyle w:val="ListParagraph"/>
        <w:widowControl/>
        <w:suppressAutoHyphens w:val="true"/>
        <w:bidi w:val="0"/>
        <w:spacing w:before="0" w:after="0"/>
        <w:ind w:firstLine="850" w:left="0" w:right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налоговом кодексе в отношении данных земельных участков установлена  налоговая ставка 0,3 процента. В результате образовалась сумма выпадающих доходов бюдже</w:t>
      </w:r>
      <w:r>
        <w:rPr>
          <w:rFonts w:cs="Times New Roman" w:ascii="Times New Roman" w:hAnsi="Times New Roman"/>
          <w:color w:val="000000"/>
          <w:sz w:val="28"/>
          <w:szCs w:val="28"/>
        </w:rPr>
        <w:t>та Чебулинского муниципального округа:</w:t>
      </w:r>
    </w:p>
    <w:p>
      <w:pPr>
        <w:pStyle w:val="ListParagraph"/>
        <w:widowControl/>
        <w:suppressAutoHyphens w:val="true"/>
        <w:bidi w:val="0"/>
        <w:spacing w:before="0" w:after="0"/>
        <w:ind w:firstLine="850" w:left="0" w:right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1"/>
        <w:gridCol w:w="4712"/>
        <w:gridCol w:w="5195"/>
        <w:gridCol w:w="3651"/>
      </w:tblGrid>
      <w:tr>
        <w:trPr/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налогоплательщиков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налогоплательщиков, ед.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выпадающих доходов, тыс. руб.</w:t>
            </w:r>
          </w:p>
        </w:tc>
      </w:tr>
      <w:tr>
        <w:trPr/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5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824,0</w:t>
            </w:r>
          </w:p>
        </w:tc>
      </w:tr>
      <w:tr>
        <w:trPr/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лица</w:t>
            </w:r>
          </w:p>
        </w:tc>
        <w:tc>
          <w:tcPr>
            <w:tcW w:w="5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4106</w:t>
            </w:r>
          </w:p>
        </w:tc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473,0</w:t>
            </w:r>
          </w:p>
        </w:tc>
      </w:tr>
      <w:tr>
        <w:trPr/>
        <w:tc>
          <w:tcPr>
            <w:tcW w:w="57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налогоплательщиков</w:t>
            </w:r>
          </w:p>
        </w:tc>
        <w:tc>
          <w:tcPr>
            <w:tcW w:w="5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4118</w:t>
            </w:r>
          </w:p>
        </w:tc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1297,0</w:t>
            </w:r>
          </w:p>
        </w:tc>
      </w:tr>
    </w:tbl>
    <w:p>
      <w:pPr>
        <w:pStyle w:val="ListParagraph"/>
        <w:widowControl/>
        <w:suppressAutoHyphens w:val="true"/>
        <w:bidi w:val="0"/>
        <w:spacing w:before="0" w:after="0"/>
        <w:ind w:firstLine="850" w:left="0" w:right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hd w:val="clear" w:color="auto" w:fill="auto"/>
        <w:suppressAutoHyphens w:val="true"/>
        <w:bidi w:val="0"/>
        <w:spacing w:lineRule="exact" w:line="320" w:before="0" w:after="0"/>
        <w:ind w:hanging="0"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Решением Совета народных депутатов Чебулинского муниципального округа от 24.11.2020 № 131 «Об установлении налога на имущество физических лиц на территории Чебулинского муниципального округа» установлена налоговая ставка 0,3 процента в отношении прочих объектов налогообложения.</w:t>
      </w:r>
    </w:p>
    <w:p>
      <w:pPr>
        <w:pStyle w:val="2"/>
        <w:widowControl/>
        <w:shd w:val="clear" w:color="auto" w:fill="auto"/>
        <w:suppressAutoHyphens w:val="true"/>
        <w:bidi w:val="0"/>
        <w:spacing w:lineRule="exact" w:line="320" w:before="0" w:after="0"/>
        <w:ind w:hanging="0"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налоговом кодексе в отношении </w:t>
      </w:r>
      <w:r>
        <w:rPr>
          <w:b/>
          <w:bCs/>
          <w:color w:val="000000"/>
          <w:sz w:val="28"/>
          <w:szCs w:val="28"/>
          <w:u w:val="single"/>
        </w:rPr>
        <w:t>прочих объектов налогообложения</w:t>
      </w:r>
      <w:r>
        <w:rPr>
          <w:color w:val="000000"/>
          <w:sz w:val="28"/>
          <w:szCs w:val="28"/>
        </w:rPr>
        <w:t xml:space="preserve"> установлена  налоговая ставка 0,5 процента. </w:t>
      </w:r>
      <w:r>
        <w:rPr>
          <w:rFonts w:cs="Times New Roman"/>
          <w:color w:val="000000"/>
          <w:sz w:val="28"/>
          <w:szCs w:val="28"/>
        </w:rPr>
        <w:t>В результате образовалась сумма выпадающих доходов бюджета Чебулинского муниципального округа</w:t>
      </w:r>
    </w:p>
    <w:p>
      <w:pPr>
        <w:pStyle w:val="2"/>
        <w:widowControl/>
        <w:shd w:val="clear" w:color="auto" w:fill="auto"/>
        <w:suppressAutoHyphens w:val="true"/>
        <w:bidi w:val="0"/>
        <w:spacing w:lineRule="exact" w:line="320" w:before="0" w:after="0"/>
        <w:ind w:hanging="0"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1"/>
        <w:gridCol w:w="4712"/>
        <w:gridCol w:w="5195"/>
        <w:gridCol w:w="3651"/>
      </w:tblGrid>
      <w:tr>
        <w:trPr/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налогоплательщиков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налогоплательщиков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выпадающих доходов, тыс. руб.</w:t>
            </w:r>
          </w:p>
        </w:tc>
      </w:tr>
      <w:tr>
        <w:trPr/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лица</w:t>
            </w:r>
          </w:p>
        </w:tc>
        <w:tc>
          <w:tcPr>
            <w:tcW w:w="5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595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34753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f649a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34753"/>
    <w:pPr/>
    <w:rPr>
      <w:rFonts w:ascii="Tahoma" w:hAnsi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2">
    <w:name w:val="Основной текст2"/>
    <w:basedOn w:val="Normal"/>
    <w:qFormat/>
    <w:pPr>
      <w:shd w:val="clear" w:color="auto" w:fill="FFFFFF"/>
      <w:spacing w:lineRule="exact" w:line="317" w:before="0" w:after="360"/>
    </w:pPr>
    <w:rPr>
      <w:rFonts w:ascii="Times New Roman" w:hAnsi="Times New Roman" w:eastAsia="Times New Roman" w:cs="Times New Roman"/>
      <w:sz w:val="25"/>
      <w:szCs w:val="2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813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Office_Excel1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_____Microsoft_Office_Excel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_____Microsoft_Office_Excel3.xlsx"/><Relationship Id="rId2" Type="http://schemas.openxmlformats.org/officeDocument/2006/relationships/chartUserShapes" Target="../drawings/drawing4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поступление в бюджет земельного налога, млн. руб.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3.85</c:v>
                </c:pt>
                <c:pt idx="1">
                  <c:v>5.09</c:v>
                </c:pt>
                <c:pt idx="2">
                  <c:v>4</c:v>
                </c:pt>
                <c:pt idx="3">
                  <c:v>4.42</c:v>
                </c:pt>
                <c:pt idx="4">
                  <c:v>3.95</c:v>
                </c:pt>
                <c:pt idx="5">
                  <c:v>4.95</c:v>
                </c:pt>
                <c:pt idx="6">
                  <c:v>3.31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предоставление льгот по налогу на землю, млн. руб.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4.29</c:v>
                </c:pt>
                <c:pt idx="1">
                  <c:v>4.48</c:v>
                </c:pt>
                <c:pt idx="2">
                  <c:v>4.69</c:v>
                </c:pt>
                <c:pt idx="3">
                  <c:v>4.15</c:v>
                </c:pt>
                <c:pt idx="4">
                  <c:v>3.41</c:v>
                </c:pt>
                <c:pt idx="5">
                  <c:v>4.55</c:v>
                </c:pt>
                <c:pt idx="6">
                  <c:v>8.9</c:v>
                </c:pt>
              </c:numCache>
            </c:numRef>
          </c:val>
        </c:ser>
        <c:gapWidth val="150"/>
        <c:overlap val="100"/>
        <c:axId val="42174367"/>
        <c:axId val="41708856"/>
      </c:barChart>
      <c:catAx>
        <c:axId val="4217436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41708856"/>
        <c:crosses val="autoZero"/>
        <c:auto val="1"/>
        <c:lblAlgn val="ctr"/>
        <c:lblOffset val="100"/>
        <c:noMultiLvlLbl val="0"/>
      </c:catAx>
      <c:valAx>
        <c:axId val="41708856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42174367"/>
        <c:crosses val="autoZero"/>
        <c:crossBetween val="between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7035625"/>
          <c:y val="0.177555555555556"/>
          <c:w val="0.296393524595287"/>
          <c:h val="0.522502500277809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технические налоговые расходы, млн. руб.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bar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технические налоговые расходы, млн. руб.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4.29</c:v>
                </c:pt>
                <c:pt idx="1">
                  <c:v>4.48</c:v>
                </c:pt>
                <c:pt idx="2">
                  <c:v>4.69</c:v>
                </c:pt>
                <c:pt idx="3">
                  <c:v>4.15</c:v>
                </c:pt>
                <c:pt idx="4">
                  <c:v>3.41</c:v>
                </c:pt>
                <c:pt idx="5">
                  <c:v>3.37</c:v>
                </c:pt>
                <c:pt idx="6">
                  <c:v>7.6</c:v>
                </c:pt>
              </c:numCache>
            </c:numRef>
          </c:val>
        </c:ser>
        <c:gapWidth val="150"/>
        <c:overlap val="100"/>
        <c:axId val="70267206"/>
        <c:axId val="32297235"/>
      </c:barChart>
      <c:catAx>
        <c:axId val="7026720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32297235"/>
        <c:crosses val="autoZero"/>
        <c:auto val="1"/>
        <c:lblAlgn val="ctr"/>
        <c:lblOffset val="100"/>
        <c:noMultiLvlLbl val="0"/>
      </c:catAx>
      <c:valAx>
        <c:axId val="32297235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0267206"/>
        <c:crosses val="autoZero"/>
        <c:crossBetween val="between"/>
      </c:valAx>
      <c:spPr>
        <a:noFill/>
        <a:ln w="0">
          <a:noFill/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74125"/>
          <c:y val="0.0443333333333333"/>
          <c:w val="0.578625"/>
          <c:h val="0.8843333333333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налоговые доходы, млн. рублей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66.2</c:v>
                </c:pt>
                <c:pt idx="1">
                  <c:v>81.7</c:v>
                </c:pt>
                <c:pt idx="2">
                  <c:v>86.8</c:v>
                </c:pt>
                <c:pt idx="3">
                  <c:v>104.4</c:v>
                </c:pt>
                <c:pt idx="4">
                  <c:v>116.2</c:v>
                </c:pt>
                <c:pt idx="5">
                  <c:v>147.9</c:v>
                </c:pt>
                <c:pt idx="6">
                  <c:v>154.5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налоговые расходы, млн. рублей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4.29</c:v>
                </c:pt>
                <c:pt idx="1">
                  <c:v>4.48</c:v>
                </c:pt>
                <c:pt idx="2">
                  <c:v>4.69</c:v>
                </c:pt>
                <c:pt idx="3">
                  <c:v>4.15</c:v>
                </c:pt>
                <c:pt idx="4">
                  <c:v>3.41</c:v>
                </c:pt>
                <c:pt idx="5">
                  <c:v>4.68</c:v>
                </c:pt>
                <c:pt idx="6">
                  <c:v>9</c:v>
                </c:pt>
              </c:numCache>
            </c:numRef>
          </c:val>
        </c:ser>
        <c:gapWidth val="150"/>
        <c:shape val="box"/>
        <c:axId val="73234052"/>
        <c:axId val="23125784"/>
        <c:axId val="0"/>
      </c:bar3DChart>
      <c:catAx>
        <c:axId val="732340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3125784"/>
        <c:crosses val="autoZero"/>
        <c:auto val="1"/>
        <c:lblAlgn val="ctr"/>
        <c:lblOffset val="100"/>
        <c:noMultiLvlLbl val="0"/>
      </c:catAx>
      <c:valAx>
        <c:axId val="23125784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3234052"/>
        <c:crosses val="autoZero"/>
        <c:crossBetween val="between"/>
      </c:valAx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  <c:userShapes r:id="rId2"/>
</c:chartSpace>
</file>

<file path=word/drawings/_rels/drawing4.xml.rels><?xml version="1.0" encoding="UTF-8"?>
<Relationships xmlns="http://schemas.openxmlformats.org/package/2006/relationships"><Relationship Id="rId1" Type="http://schemas.openxmlformats.org/officeDocument/2006/relationships/image" Target="../media/image1.wmf"/><Relationship Id="rId2" Type="http://schemas.openxmlformats.org/officeDocument/2006/relationships/image" Target="../media/image1.wmf"/>
</Relationships>
</file>

<file path=word/drawings/drawing4.xml><?xml version="1.0" encoding="utf-8"?>
<c:userShapes xmlns:cdr="http://schemas.openxmlformats.org/drawingml/2006/chartDrawing" xmlns:a="http://schemas.openxmlformats.org/drawingml/2006/main" xmlns:c="http://schemas.openxmlformats.org/drawingml/2006/chart" xmlns:r="http://schemas.openxmlformats.org/officeDocument/2006/relationships">
  <cdr:relSizeAnchor>
    <cdr:from>
      <cdr:x>0.0680624835914938</cdr:x>
      <cdr:y>0.4130092279991</cdr:y>
    </cdr:from>
    <cdr:to>
      <cdr:x>0.155093200315043</cdr:x>
      <cdr:y>0.5</cdr:y>
    </cdr:to>
    <cdr:sp>
      <cdr:nvSpPr>
        <cdr:cNvPr id="0" name="TextBox 1"/>
        <cdr:cNvSpPr/>
      </cdr:nvSpPr>
      <cdr:spPr>
        <a:xfrm>
          <a:off x="0" y="0"/>
          <a:ext cx="477360" cy="27828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66,2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0.0949724337096351</cdr:x>
      <cdr:y>0.790006752194463</cdr:y>
    </cdr:from>
    <cdr:to>
      <cdr:x>0.207075347860331</cdr:x>
      <cdr:y>0.893540400630205</cdr:y>
    </cdr:to>
    <cdr:sp>
      <cdr:nvSpPr>
        <cdr:cNvPr id="1" name="TextBox 2"/>
        <cdr:cNvSpPr/>
      </cdr:nvSpPr>
      <cdr:spPr>
        <a:xfrm>
          <a:off x="0" y="0"/>
          <a:ext cx="614880" cy="33120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4,29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0.163559989498556</cdr:x>
      <cdr:y>0.4197614224623</cdr:y>
    </cdr:from>
    <cdr:to>
      <cdr:x>0.23326332370701</cdr:x>
      <cdr:y>0.500450146297547</cdr:y>
    </cdr:to>
    <cdr:sp>
      <cdr:nvSpPr>
        <cdr:cNvPr id="2" name="TextBox 3"/>
        <cdr:cNvSpPr/>
      </cdr:nvSpPr>
      <cdr:spPr>
        <a:xfrm>
          <a:off x="0" y="0"/>
          <a:ext cx="382320" cy="25812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81,7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0.246915200840116</cdr:x>
      <cdr:y>0.370808012604096</cdr:y>
    </cdr:from>
    <cdr:to>
      <cdr:x>0.319506432134419</cdr:x>
      <cdr:y>0.434278640558181</cdr:y>
    </cdr:to>
    <cdr:sp>
      <cdr:nvSpPr>
        <cdr:cNvPr id="3" name="TextBox 4"/>
        <cdr:cNvSpPr/>
      </cdr:nvSpPr>
      <cdr:spPr>
        <a:xfrm>
          <a:off x="0" y="0"/>
          <a:ext cx="398160" cy="20304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86,8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0.320622210553951</cdr:x>
      <cdr:y>0.337722259734414</cdr:y>
    </cdr:from>
    <cdr:to>
      <cdr:x>0.404239957994224</cdr:x>
      <cdr:y>0.412559081701553</cdr:y>
    </cdr:to>
    <cdr:sp>
      <cdr:nvSpPr>
        <cdr:cNvPr id="4" name="TextBox 5"/>
        <cdr:cNvSpPr/>
      </cdr:nvSpPr>
      <cdr:spPr>
        <a:xfrm>
          <a:off x="0" y="0"/>
          <a:ext cx="458640" cy="23940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104,4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0.401811499081124</cdr:x>
      <cdr:y>0.252757146072474</cdr:y>
    </cdr:from>
    <cdr:to>
      <cdr:x>0.499146757679181</cdr:x>
      <cdr:y>0.33344586990772</cdr:y>
    </cdr:to>
    <cdr:sp>
      <cdr:nvSpPr>
        <cdr:cNvPr id="5" name="TextBox 6"/>
        <cdr:cNvSpPr/>
      </cdr:nvSpPr>
      <cdr:spPr>
        <a:xfrm>
          <a:off x="0" y="0"/>
          <a:ext cx="533880" cy="25812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116,2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0.480309792596482</cdr:x>
      <cdr:y>0.198064370920549</cdr:y>
    </cdr:from>
    <cdr:to>
      <cdr:x>0.561433447098976</cdr:x>
      <cdr:y>0.261534998874634</cdr:y>
    </cdr:to>
    <cdr:sp>
      <cdr:nvSpPr>
        <cdr:cNvPr id="6" name="TextBox 7"/>
        <cdr:cNvSpPr/>
      </cdr:nvSpPr>
      <cdr:spPr>
        <a:xfrm>
          <a:off x="0" y="0"/>
          <a:ext cx="444960" cy="20304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147,9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0.539052244683644</cdr:x>
      <cdr:y>0.0352239477830295</cdr:y>
    </cdr:from>
    <cdr:to>
      <cdr:x>0.642491467576792</cdr:x>
      <cdr:y>0.106009453072248</cdr:y>
    </cdr:to>
    <cdr:sp>
      <cdr:nvSpPr>
        <cdr:cNvPr id="7" name="TextBox 8"/>
        <cdr:cNvSpPr/>
      </cdr:nvSpPr>
      <cdr:spPr>
        <a:xfrm>
          <a:off x="0" y="0"/>
          <a:ext cx="567360" cy="22644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154,5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0.181871882383828</cdr:x>
      <cdr:y>0.790006752194463</cdr:y>
    </cdr:from>
    <cdr:to>
      <cdr:x>0.268180624835915</cdr:x>
      <cdr:y>0.996173756470853</cdr:y>
    </cdr:to>
    <cdr:sp>
      <cdr:nvSpPr>
        <cdr:cNvPr id="8" name="TextBox 9"/>
        <cdr:cNvSpPr/>
      </cdr:nvSpPr>
      <cdr:spPr>
        <a:xfrm>
          <a:off x="0" y="0"/>
          <a:ext cx="473400" cy="65952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4,48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0.253938041480704</cdr:x>
      <cdr:y>0.781228899392302</cdr:y>
    </cdr:from>
    <cdr:to>
      <cdr:x>0.345366237857705</cdr:x>
      <cdr:y>0.88048615800135</cdr:y>
    </cdr:to>
    <cdr:sp>
      <cdr:nvSpPr>
        <cdr:cNvPr id="9" name="TextBox 10"/>
        <cdr:cNvSpPr/>
      </cdr:nvSpPr>
      <cdr:spPr>
        <a:xfrm>
          <a:off x="0" y="0"/>
          <a:ext cx="501480" cy="31752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4,69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0.33374901548963</cdr:x>
      <cdr:y>0.78944406932253</cdr:y>
    </cdr:from>
    <cdr:to>
      <cdr:x>0.436334996061959</cdr:x>
      <cdr:y>0.908732838172406</cdr:y>
    </cdr:to>
    <cdr:sp>
      <cdr:nvSpPr>
        <cdr:cNvPr id="10" name="TextBox 11"/>
        <cdr:cNvSpPr/>
      </cdr:nvSpPr>
      <cdr:spPr>
        <a:xfrm>
          <a:off x="0" y="0"/>
          <a:ext cx="562680" cy="38160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4,15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0.415003938041481</cdr:x>
      <cdr:y>0.799122214719784</cdr:y>
    </cdr:from>
    <cdr:to>
      <cdr:x>0.506300866369126</cdr:x>
      <cdr:y>0.882511816340311</cdr:y>
    </cdr:to>
    <cdr:sp>
      <cdr:nvSpPr>
        <cdr:cNvPr id="11" name="TextBox 12"/>
        <cdr:cNvSpPr/>
      </cdr:nvSpPr>
      <cdr:spPr>
        <a:xfrm>
          <a:off x="0" y="0"/>
          <a:ext cx="500760" cy="26676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3,41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0.494749278025729</cdr:x>
      <cdr:y>0.801598019356291</cdr:y>
    </cdr:from>
    <cdr:to>
      <cdr:x>0.587293252822263</cdr:x>
      <cdr:y>0.87542201215395</cdr:y>
    </cdr:to>
    <cdr:sp>
      <cdr:nvSpPr>
        <cdr:cNvPr id="12" name="TextBox 13"/>
        <cdr:cNvSpPr/>
      </cdr:nvSpPr>
      <cdr:spPr>
        <a:xfrm>
          <a:off x="0" y="0"/>
          <a:ext cx="507600" cy="23616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4,7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0.587687056970333</cdr:x>
      <cdr:y>0.786968264686023</cdr:y>
    </cdr:from>
    <cdr:to>
      <cdr:x>0.725584142819638</cdr:x>
      <cdr:y>0.893315327481432</cdr:y>
    </cdr:to>
    <cdr:sp>
      <cdr:nvSpPr>
        <cdr:cNvPr id="13" name="TextBox 14"/>
        <cdr:cNvSpPr/>
      </cdr:nvSpPr>
      <cdr:spPr>
        <a:xfrm>
          <a:off x="0" y="0"/>
          <a:ext cx="756360" cy="34020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9,0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</cdr:x>
      <cdr:y>0</cdr:y>
    </cdr:from>
    <cdr:to>
      <cdr:x>0.0739039117878708</cdr:x>
      <cdr:y>0.0806887238352465</cdr:y>
    </cdr:to>
    <cdr:sp>
      <cdr:nvSpPr>
        <cdr:cNvPr id="14" name="TextBox 11"/>
        <cdr:cNvSpPr/>
      </cdr:nvSpPr>
      <cdr:spPr>
        <a:xfrm>
          <a:off x="0" y="0"/>
          <a:ext cx="405360" cy="25812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4,69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</cdr:x>
      <cdr:y>0</cdr:y>
    </cdr:from>
    <cdr:to>
      <cdr:x>0.0653058545550013</cdr:x>
      <cdr:y>0.112086428089129</cdr:y>
    </cdr:to>
    <cdr:pic>
      <cdr:nvPicPr>
        <cdr:cNvPr id="15" name="" descr=""/>
        <cdr:cNvPicPr/>
      </cdr:nvPicPr>
      <cdr:blipFill>
        <a:blip r:embed="rId1"/>
        <a:stretch/>
      </cdr:blipFill>
      <cdr:spPr>
        <a:xfrm>
          <a:off x="0" y="0"/>
          <a:ext cx="358200" cy="358560"/>
        </a:xfrm>
        <a:prstGeom prst="rect">
          <a:avLst/>
        </a:prstGeom>
        <a:ln w="0">
          <a:noFill/>
        </a:ln>
      </cdr:spPr>
    </cdr:pic>
  </cdr:relSizeAnchor>
  <cdr:relSizeAnchor>
    <cdr:from>
      <cdr:x>0</cdr:x>
      <cdr:y>0</cdr:y>
    </cdr:from>
    <cdr:to>
      <cdr:x>0.0653058545550013</cdr:x>
      <cdr:y>0.112086428089129</cdr:y>
    </cdr:to>
    <cdr:pic>
      <cdr:nvPicPr>
        <cdr:cNvPr id="16" name="" descr=""/>
        <cdr:cNvPicPr/>
      </cdr:nvPicPr>
      <cdr:blipFill>
        <a:blip r:embed="rId2"/>
        <a:stretch/>
      </cdr:blipFill>
      <cdr:spPr>
        <a:xfrm>
          <a:off x="0" y="0"/>
          <a:ext cx="358200" cy="358560"/>
        </a:xfrm>
        <a:prstGeom prst="rect">
          <a:avLst/>
        </a:prstGeom>
        <a:ln w="0">
          <a:noFill/>
        </a:ln>
      </cdr:spPr>
    </cdr:pic>
  </cdr:relSizeAnchor>
  <cdr:relSizeAnchor>
    <cdr:from>
      <cdr:x>0</cdr:x>
      <cdr:y>0</cdr:y>
    </cdr:from>
    <cdr:to>
      <cdr:x>0.0912969283276451</cdr:x>
      <cdr:y>0.0833896016205267</cdr:y>
    </cdr:to>
    <cdr:sp>
      <cdr:nvSpPr>
        <cdr:cNvPr id="17" name="TextBox 12"/>
        <cdr:cNvSpPr/>
      </cdr:nvSpPr>
      <cdr:spPr>
        <a:xfrm>
          <a:off x="0" y="0"/>
          <a:ext cx="500760" cy="26676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solidFill>
                <a:srgbClr val="000000"/>
              </a:solidFill>
              <a:latin typeface="Times New Roman"/>
            </a:rPr>
            <a:t>3,41</a:t>
          </a:r>
          <a:endParaRPr b="0" sz="800" spc="-1" strike="noStrike">
            <a:latin typeface="Times New Roman"/>
          </a:endParaRPr>
        </a:p>
      </cdr:txBody>
    </cdr:sp>
  </cdr:relSizeAnchor>
</c:userShape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81DD9-31D7-4DB3-8886-D29BBC92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Application>LibreOffice/7.6.7.2$Linux_X86_64 LibreOffice_project/60$Build-2</Application>
  <AppVersion>15.0000</AppVersion>
  <Pages>32</Pages>
  <Words>6244</Words>
  <Characters>45651</Characters>
  <CharactersWithSpaces>51330</CharactersWithSpaces>
  <Paragraphs>833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2023-07-25T05:44:00Z</dcterms:created>
  <dc:creator>Nach-Ekonom</dc:creator>
  <dc:description/>
  <dc:language>ru-RU</dc:language>
  <cp:lastModifiedBy/>
  <cp:lastPrinted>2024-08-08T11:49:26Z</cp:lastPrinted>
  <dcterms:modified xsi:type="dcterms:W3CDTF">2025-07-11T12:48:16Z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